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ПРОЕКТ РІШЕННЯ</w:t>
      </w:r>
      <w:r/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14 листопада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2019 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м.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№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погодження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Програми </w:t>
      </w:r>
      <w:r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розвитку фізичної культури і </w:t>
      </w:r>
      <w:r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спорту в Менській об’єднаній </w:t>
      </w:r>
      <w:r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територіальній громаді на 2020-2022 роки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пунктом 1 частини 2 статті 52 Закону України "Про місцеве самоврядування в Україні", відповідно до Закону України від 24.12.1993 року № 3808-ХІІ "Про фізичну культуру і спорт"(зі змінами і доповненнями), розпорядження Кабінету Міністрів України ві</w:t>
      </w:r>
      <w:r>
        <w:rPr>
          <w:rFonts w:ascii="Times New Roman" w:hAnsi="Times New Roman"/>
          <w:sz w:val="28"/>
          <w:szCs w:val="28"/>
          <w:lang w:val="uk-UA"/>
        </w:rPr>
        <w:t xml:space="preserve">д 9 грудня 2015 року №1320 "Про схвалення Концепції Державної цільової соціальної програми розвитку фізичної культури і спорту на період до 2020 року", Указу Президента України від 9 лютого 2016 року №42/2016 "Про Національну стратегію з оздоровчої рухової </w:t>
      </w:r>
      <w:r>
        <w:rPr>
          <w:rFonts w:ascii="Times New Roman" w:hAnsi="Times New Roman"/>
          <w:sz w:val="28"/>
          <w:szCs w:val="28"/>
          <w:lang w:val="uk-UA"/>
        </w:rPr>
        <w:t xml:space="preserve">активності в Україні на період до 2025 року "Рухова активність - здоровий спосіб життя-здорова нація,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Менської міської ради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Програму розвитку фізичної культури і спорту в Менській об’єднаній територіальній гр</w:t>
      </w:r>
      <w:r>
        <w:rPr>
          <w:rFonts w:ascii="Times New Roman" w:hAnsi="Times New Roman"/>
          <w:sz w:val="28"/>
          <w:szCs w:val="28"/>
          <w:lang w:val="uk-UA"/>
        </w:rPr>
        <w:t xml:space="preserve">омаді на 2020-2022 роки згідно Д</w:t>
      </w:r>
      <w:r>
        <w:rPr>
          <w:rFonts w:ascii="Times New Roman" w:hAnsi="Times New Roman"/>
          <w:sz w:val="28"/>
          <w:szCs w:val="28"/>
          <w:lang w:val="uk-UA"/>
        </w:rPr>
        <w:t xml:space="preserve">одатку 1 до даного рішення.</w:t>
      </w:r>
      <w:r/>
    </w:p>
    <w:p>
      <w:pPr>
        <w:pStyle w:val="195"/>
        <w:numPr>
          <w:ilvl w:val="0"/>
          <w:numId w:val="2"/>
        </w:numPr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нести дану програму на розгляд сесії Менської міської ради.</w:t>
      </w:r>
      <w:r/>
    </w:p>
    <w:p>
      <w:pPr>
        <w:pStyle w:val="195"/>
        <w:numPr>
          <w:ilvl w:val="0"/>
          <w:numId w:val="2"/>
        </w:numPr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Вишняк Т.С., заступника міського голови з питань діяльності виконкому Менської міської ради.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Г.А.Примаков</w:t>
      </w:r>
      <w:r/>
    </w:p>
    <w:p>
      <w:pPr>
        <w:rPr>
          <w:rFonts w:ascii="Times New Roman" w:hAnsi="Times New Roman" w:eastAsia="Times New Roman"/>
          <w:bCs/>
          <w:iCs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iCs/>
          <w:szCs w:val="28"/>
          <w:lang w:val="uk-UA" w:eastAsia="ru-RU"/>
        </w:rPr>
      </w:r>
      <w:r/>
    </w:p>
    <w:p>
      <w:pPr>
        <w:spacing w:lineRule="auto" w:line="276" w:after="200"/>
        <w:rPr>
          <w:rFonts w:ascii="Times New Roman" w:hAnsi="Times New Roman" w:eastAsia="Times New Roman"/>
          <w:bCs/>
          <w:iCs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iCs/>
          <w:szCs w:val="28"/>
          <w:lang w:val="uk-UA" w:eastAsia="ru-RU"/>
        </w:rPr>
        <w:br w:type="page"/>
      </w:r>
      <w:r/>
    </w:p>
    <w:p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iCs/>
          <w:szCs w:val="28"/>
          <w:lang w:val="uk-UA" w:eastAsia="ru-RU"/>
        </w:rPr>
        <w:t xml:space="preserve">Додаток 1 до рішення виконкому Менської міської ради «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Про погодження Програми розвитку фізичної культури і спорту в Менській об'єднаній територіальній громаді на 2020-2022 роки»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ПРОГРАМА</w:t>
      </w:r>
      <w:r/>
    </w:p>
    <w:p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розвитку фізичної культури і спорту в Менській об’єднаній т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ериторіальній громаді на 2020-2022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роки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2019 рік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lineRule="auto" w:line="276" w:after="20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ЗАГАЛЬНА ХАРАКТЕРИСТИКА</w:t>
      </w:r>
      <w:r/>
    </w:p>
    <w:tbl>
      <w:tblPr>
        <w:tblStyle w:val="196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785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сім’ї, молоді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сім’ї, молоді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Виконавець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сім’ї, молоді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сектор сім’ї, молоді та спорту Менської міської ради, відділ освіти Менської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відділ організаційної роботи та інформаційного забезпечення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 – 2022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бюджетів, задіяних у виконання Програми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Місцевий бюджет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інші джерела фінансування незаборонені законодавством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тис. грн.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Всього: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953,6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 роках: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 рік -262,0</w:t>
            </w:r>
            <w:r/>
          </w:p>
          <w:p>
            <w:pPr>
              <w:ind w:left="13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рік -314,4</w:t>
            </w:r>
            <w:r/>
          </w:p>
          <w:p>
            <w:pPr>
              <w:ind w:left="13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рік -377,2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Місцевий бюджет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інші джерела фінансування незаборонені законодавством</w:t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Визначення проблеми, на розв’язання якої спрямована Програма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 Фізична культура та спорт є ефективним та найбільш економічним засобом профілактики захворюваності, зміцнення генофонду нації та розв’язання різних соціальних проблем. В той же час фізична культура і спорт є складовою частиною освітнього процесу підростаю</w:t>
      </w:r>
      <w:r>
        <w:rPr>
          <w:rFonts w:ascii="Times New Roman" w:hAnsi="Times New Roman"/>
          <w:sz w:val="28"/>
          <w:szCs w:val="28"/>
          <w:lang w:val="uk-UA"/>
        </w:rPr>
        <w:t xml:space="preserve">чого покоління.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  Фізичні вправи відіграють важливу роль у зміцненні здоров’я людини, підвищення фізичних і функціональних можливостей її організму, забезпеченні повноцінного дозвілля, збереженні тривалості активного життя населення.  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У сучасних умовах в Україні склалася критична ситуація із станом здоров’я населення. Майже 70% дорослих громадян держави мають низький рівень фізичного здоров’я. В  Менській міській раді проводиться певна робота, спрямована на покращення умов розвитку мас</w:t>
      </w:r>
      <w:r>
        <w:rPr>
          <w:rFonts w:ascii="Times New Roman" w:hAnsi="Times New Roman"/>
          <w:sz w:val="28"/>
          <w:szCs w:val="28"/>
          <w:lang w:val="uk-UA"/>
        </w:rPr>
        <w:t xml:space="preserve">ової фізичної культури і спорту, збереження всіх складових її діяльності. Проте рівень розвитку фізичного виховання, фізичної культури і спорту далеко не відповідає вимогам сьогодення і не може задовольнити потреб населення громади.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 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 Практично відсутня система пропаганди масового спорту як невід’ємної і головної складової здорового способу життя. Мало уваги приділяється фізичному вихованню в сім’ях. Похідним таких соціальних недоліків є те, що катастрофічно не задовольняється природно</w:t>
      </w:r>
      <w:r>
        <w:rPr>
          <w:rFonts w:ascii="Times New Roman" w:hAnsi="Times New Roman"/>
          <w:sz w:val="28"/>
          <w:szCs w:val="28"/>
          <w:lang w:val="uk-UA"/>
        </w:rPr>
        <w:t xml:space="preserve">-біологічна потреба дітей, учнівської молоді у руховій активності, що негативно позначається на їх здоров’ї. Щороку збільшується кількість учнів, віднесених за станом здоров’я до спеціальних медичних груп.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Вищезазначені проблеми можливо розв’язати за умови ефективної підтримки з боку владних структур усіх рівнів, виділення необхідних коштів на проведення спортивних заходів, поліпшення матеріально-технічної бази сфери фізичної культури і спорту тощо.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   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Одним із основних заходів, що поліпшує стан здоров’я людини, запобігає розвитку різного роду захворювань – є формування у населення свідомого ставлення до свого здоров’я та здоров’я оточуючих. Адже у структурі факторів, що формують здоров’я на умови та сп</w:t>
      </w:r>
      <w:r>
        <w:rPr>
          <w:rFonts w:ascii="Times New Roman" w:hAnsi="Times New Roman"/>
          <w:sz w:val="28"/>
          <w:szCs w:val="28"/>
          <w:lang w:val="uk-UA"/>
        </w:rPr>
        <w:t xml:space="preserve">осіб життя припадає майже 70 відсотків.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   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Звідси випливає гостра потреба у визначенні програмних підходів та пріоритетних напрямів розвитку фізичного виховання, фізичної культури і спорту які б забезпечували ефективне функціонування галузі в сучасних умовах розвитку суспільства. 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   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Програма розроблена відповідно до Закону України «Про фізичну культуру і спорт» і розрахована на 2019 рік, що дасть можливість виконати поставлені завдання згідно із сучасними потребами економічного та соціального розвитку країни. Програма повинна сприяти</w:t>
      </w:r>
      <w:r>
        <w:rPr>
          <w:rFonts w:ascii="Times New Roman" w:hAnsi="Times New Roman"/>
          <w:sz w:val="28"/>
          <w:szCs w:val="28"/>
          <w:lang w:val="uk-UA"/>
        </w:rPr>
        <w:t xml:space="preserve"> поліпшенню становища, що склалося та підвищенню авторитету фізичної культури і спорту в громаді.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Мета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визначає стратегію розвитку сфери фізичної культури та спорту в Менській міській</w:t>
      </w:r>
      <w:r>
        <w:rPr>
          <w:rFonts w:ascii="Times New Roman" w:hAnsi="Times New Roman"/>
          <w:sz w:val="28"/>
          <w:szCs w:val="28"/>
          <w:lang w:val="uk-UA"/>
        </w:rPr>
        <w:t xml:space="preserve"> раді на 2020 – 2022</w:t>
      </w:r>
      <w:r>
        <w:rPr>
          <w:rFonts w:ascii="Times New Roman" w:hAnsi="Times New Roman"/>
          <w:sz w:val="28"/>
          <w:szCs w:val="28"/>
          <w:lang w:val="uk-UA"/>
        </w:rPr>
        <w:t xml:space="preserve"> роки.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Програми є: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популяризація здорового способу життя, забезпечення розвитку таких напрямів фізичної культури як фізичне виховання та масовий спорт і створення умов для регулярної рухової активності різних верств населення з урахуванням інтересів, побажань, здібностей та</w:t>
      </w:r>
      <w:r>
        <w:rPr>
          <w:rFonts w:ascii="Times New Roman" w:hAnsi="Times New Roman"/>
          <w:sz w:val="28"/>
          <w:szCs w:val="28"/>
          <w:lang w:val="uk-UA"/>
        </w:rPr>
        <w:t xml:space="preserve"> індивідуальних особливостей кожного;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створення умов для залучення дітей, у тому числі і дітей з інвалідністю,  до занять фізичною культурою;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створення цілісної системи взаємодії державних та громадських інституцій в реалізації державної політики у сфері фізичної культури і спорту.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Основні завдання та заходи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Основними завданнями Програми є: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створення умов для фізичного виховання, масового спорту, за місцем роботи, проживання та місцях масового відпочинку всіх верств населення;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забезпечення розвитку дитячо-юнацького спорту та спорту вищих досягнень;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для забезпечення розвитку олімпійських та не олімпійських видів спорту, видів спорту інвалідів.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Заходи щодо реалізаці</w:t>
      </w:r>
      <w:r>
        <w:rPr>
          <w:rFonts w:ascii="Times New Roman" w:hAnsi="Times New Roman"/>
          <w:sz w:val="28"/>
          <w:szCs w:val="28"/>
          <w:lang w:val="uk-UA"/>
        </w:rPr>
        <w:t xml:space="preserve">ї програми вкладені в додатку №1 до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Обґрунтування шляхів і засобів розв’язання проблем</w:t>
      </w:r>
      <w:r/>
    </w:p>
    <w:p>
      <w:pPr>
        <w:ind w:firstLine="36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Розв’язання проблем здійснюється зокрема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19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підтримання та розвиток олімпійського, </w:t>
      </w:r>
      <w:r>
        <w:rPr>
          <w:rFonts w:ascii="Times New Roman" w:hAnsi="Times New Roman"/>
          <w:sz w:val="28"/>
          <w:szCs w:val="28"/>
          <w:lang w:val="uk-UA"/>
        </w:rPr>
        <w:t xml:space="preserve">не олімпійського, </w:t>
      </w:r>
      <w:r>
        <w:rPr>
          <w:rFonts w:ascii="Times New Roman" w:hAnsi="Times New Roman"/>
          <w:sz w:val="28"/>
          <w:szCs w:val="28"/>
          <w:lang w:val="uk-UA"/>
        </w:rPr>
        <w:t xml:space="preserve">дефлімпійського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паралімпійського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руху;</w:t>
      </w:r>
      <w:r/>
    </w:p>
    <w:p>
      <w:pPr>
        <w:pStyle w:val="19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взаємодія з громадськими організаціями фізкультурно-спортивної спрямованості та іншими суб’єктами сфери фізичної культури і спорту;</w:t>
      </w:r>
      <w:r/>
    </w:p>
    <w:p>
      <w:pPr>
        <w:pStyle w:val="19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популяризація здорового способу життя, подолання стану суспільної байдужості до здоров</w:t>
      </w:r>
      <w:r>
        <w:rPr>
          <w:rFonts w:cs="Microsoft Himalaya"/>
          <w:sz w:val="28"/>
          <w:szCs w:val="28"/>
          <w:lang w:val="uk-UA"/>
        </w:rPr>
        <w:t xml:space="preserve">’</w:t>
      </w:r>
      <w:r>
        <w:rPr>
          <w:rFonts w:ascii="Times New Roman" w:hAnsi="Times New Roman"/>
          <w:sz w:val="28"/>
          <w:szCs w:val="28"/>
          <w:lang w:val="uk-UA"/>
        </w:rPr>
        <w:t xml:space="preserve">я нації.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Очікувані результати, ефективність Програми</w:t>
      </w:r>
      <w:r/>
    </w:p>
    <w:p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дасть можливість:</w:t>
      </w:r>
      <w:r/>
    </w:p>
    <w:p>
      <w:pPr>
        <w:pStyle w:val="19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залучати до змістовного дозвілля та відпочинку населення, насамперед молодь, із щорічним збільшенням на 1 - 2 відсотки рівня охоплення населення руховою активністю в обсязі до 30 хвилин щодня;</w:t>
      </w:r>
      <w:r/>
    </w:p>
    <w:p>
      <w:pPr>
        <w:pStyle w:val="19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збільшити обсяг рухової активності жителів громади;</w:t>
      </w:r>
      <w:r/>
    </w:p>
    <w:p>
      <w:pPr>
        <w:pStyle w:val="19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створити умови для розвитку резервного спорту та поповнення основного складу національних збірних команд;</w:t>
      </w:r>
      <w:r/>
    </w:p>
    <w:p>
      <w:pPr>
        <w:pStyle w:val="19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щороку зменшувати відсоток кількості населення, особливо дітей та молоді, віднесених за станом здоров’я до спеціальної медичної групи;</w:t>
      </w:r>
      <w:r/>
    </w:p>
    <w:p>
      <w:pPr>
        <w:pStyle w:val="19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привести стан спортивних об’єктів Менської міської ради у відповідність із сучасними стандартами, що надасть змогу забезпечити на спортивних спорудах мінімальний (науково обґрунтований) обсяг рухової активності громадян;</w:t>
      </w:r>
      <w:r/>
    </w:p>
    <w:p>
      <w:pPr>
        <w:pStyle w:val="19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підвищити авторитет Менської об’єднаної територіальної громади  у обласному, всеукраїнському спортивному співтоваристві.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Нагородження кращих спортсменів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тренерів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Для підвищення рівня престижності спорту на території громади, збільшення зацікавленості до занять фізичною культурою і спортом в кінці кожного року нагороджувати кращих спортсменів, команд та тренерів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розрахунком участі у змаганнях різних рангів затверджених Єдиною спортивною класифікацією України для визнаних видів спорту в Україні: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I ранг - Ігри Олімпіад, зимові Олімпійські ігри, </w:t>
      </w:r>
      <w:r>
        <w:rPr>
          <w:rFonts w:ascii="Times New Roman" w:hAnsi="Times New Roman"/>
          <w:sz w:val="28"/>
          <w:szCs w:val="28"/>
          <w:lang w:val="uk-UA"/>
        </w:rPr>
        <w:t xml:space="preserve">Паралімпійські</w:t>
      </w:r>
      <w:r>
        <w:rPr>
          <w:rFonts w:ascii="Times New Roman" w:hAnsi="Times New Roman"/>
          <w:sz w:val="28"/>
          <w:szCs w:val="28"/>
          <w:lang w:val="uk-UA"/>
        </w:rPr>
        <w:t xml:space="preserve"> ігри, </w:t>
      </w:r>
      <w:r>
        <w:rPr>
          <w:rFonts w:ascii="Times New Roman" w:hAnsi="Times New Roman"/>
          <w:sz w:val="28"/>
          <w:szCs w:val="28"/>
          <w:lang w:val="uk-UA"/>
        </w:rPr>
        <w:t xml:space="preserve">Дефлімпійські</w:t>
      </w:r>
      <w:r>
        <w:rPr>
          <w:rFonts w:ascii="Times New Roman" w:hAnsi="Times New Roman"/>
          <w:sz w:val="28"/>
          <w:szCs w:val="28"/>
          <w:lang w:val="uk-UA"/>
        </w:rPr>
        <w:t xml:space="preserve"> ігри, Всесвітні ігри;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0" w:name="n141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II ранг - чемпіонати світу та Європи серед спортсменів усіх вікових груп, Глобальні ігри, розіграші Кубків світу та Європи, гран-прі, Всесвітні шахові олімпіади, Всесвітні інтелектуальні ігри, Всесвітні ігри з єдиноборств, Всесвітні ігри серед інвалідів, Юн</w:t>
      </w:r>
      <w:r>
        <w:rPr>
          <w:rFonts w:ascii="Times New Roman" w:hAnsi="Times New Roman"/>
          <w:sz w:val="28"/>
          <w:szCs w:val="28"/>
          <w:lang w:val="uk-UA"/>
        </w:rPr>
        <w:t xml:space="preserve">ацькі олімпійські ігри, Всесвітні Універсіади, Європейські спортивні ігри, інші міжнародні змагання, що включені до календарних планів міжнародних федерацій та федерацій інвалідів з відповідних нозологій;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1" w:name="n142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III ранг - чемпіонати України, розіграші Кубків України, інші офіційні всеукраїнські змагання, що включені до Єдиного календарного плану фізкультурно-оздоровчих та спортивних заходів України, крім молодших вікових груп;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2" w:name="n143"/>
      <w:r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IV ранг - чемпіонати України, інші офіційні всеукраїнські змагання серед спортсменів молодших вікових груп, що включені до Єдиного календарного плану фізкультурно-оздоровчих та спортивних заходів України;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3" w:name="n144"/>
      <w:r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V ранг - чемпіонати Автономної Республіки Крим, областей, міст Києва, Севастополя, фізкультурно-спортивних товариств (далі - ФСТ), крім молодших </w:t>
      </w:r>
      <w:r>
        <w:rPr>
          <w:rFonts w:ascii="Times New Roman" w:hAnsi="Times New Roman"/>
          <w:sz w:val="28"/>
          <w:szCs w:val="28"/>
          <w:lang w:val="uk-UA"/>
        </w:rPr>
        <w:t xml:space="preserve">вікових груп, зональні змагання, що включені до відповідних календарних планів спортивних змагань;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4" w:name="n145"/>
      <w:r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VI ранг - чемпіонати областей, ФСТ серед спортсменів молодших вікових груп, чемпіонати міст, районів, спортивних клубів, дитячо-юнацьких спортивних шкіл, спеціалізованих навчальних закладів спортивного профілю та інші, що включені до відповідних календарних</w:t>
      </w:r>
      <w:r>
        <w:rPr>
          <w:rFonts w:ascii="Times New Roman" w:hAnsi="Times New Roman"/>
          <w:sz w:val="28"/>
          <w:szCs w:val="28"/>
          <w:lang w:val="uk-UA"/>
        </w:rPr>
        <w:t xml:space="preserve"> планів спортивних змагань.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документі для отримання </w:t>
      </w:r>
      <w:r>
        <w:rPr>
          <w:rFonts w:ascii="Times New Roman" w:hAnsi="Times New Roman"/>
          <w:sz w:val="28"/>
          <w:szCs w:val="28"/>
          <w:lang w:val="uk-UA"/>
        </w:rPr>
        <w:t xml:space="preserve">одноразової премії:</w:t>
      </w:r>
      <w:r/>
    </w:p>
    <w:p>
      <w:pPr>
        <w:pStyle w:val="19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подання тренера;</w:t>
      </w:r>
      <w:r/>
    </w:p>
    <w:p>
      <w:pPr>
        <w:pStyle w:val="19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витяг з протоколу змагання або грамота;</w:t>
      </w:r>
      <w:r/>
    </w:p>
    <w:p>
      <w:pPr>
        <w:pStyle w:val="19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копії паспорта (свідоцтва про народження), </w:t>
      </w:r>
      <w:hyperlink r:id="rId10" w:history="1">
        <w:r>
          <w:rPr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 xml:space="preserve">ідентифікаційного</w:t>
        </w:r>
        <w:r>
          <w:rPr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 xml:space="preserve"> номера </w:t>
        </w:r>
        <w:r>
          <w:rPr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 xml:space="preserve">фізичної</w:t>
        </w:r>
        <w:r>
          <w:rPr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 xml:space="preserve"> особи</w:t>
        </w:r>
      </w:hyperlink>
      <w:r>
        <w:rPr>
          <w:lang w:val="uk-UA"/>
        </w:rPr>
        <w:t xml:space="preserve">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Style w:val="196"/>
        <w:tblW w:w="0" w:type="auto"/>
        <w:tblLook w:val="04A0" w:firstRow="1" w:lastRow="0" w:firstColumn="1" w:lastColumn="0" w:noHBand="0" w:noVBand="1"/>
      </w:tblPr>
      <w:tblGrid>
        <w:gridCol w:w="1642"/>
        <w:gridCol w:w="5270"/>
        <w:gridCol w:w="2858"/>
      </w:tblGrid>
      <w:tr>
        <w:trPr>
          <w:trHeight w:val="595"/>
        </w:trPr>
        <w:tc>
          <w:tcPr>
            <w:tcW w:w="16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Ранг змагань</w:t>
            </w:r>
            <w:r/>
          </w:p>
        </w:tc>
        <w:tc>
          <w:tcPr>
            <w:tcW w:w="5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Зайняті місця</w:t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Сума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премії 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(грн..)</w:t>
            </w:r>
            <w:r/>
          </w:p>
        </w:tc>
      </w:tr>
      <w:tr>
        <w:trPr>
          <w:trHeight w:val="304"/>
        </w:trPr>
        <w:tc>
          <w:tcPr>
            <w:tcW w:w="16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I</w:t>
            </w:r>
            <w:r/>
          </w:p>
        </w:tc>
        <w:tc>
          <w:tcPr>
            <w:tcBorders>
              <w:bottom w:val="single" w:sz="4" w:space="0" w:color="auto"/>
            </w:tcBorders>
            <w:tcW w:w="5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</w:t>
            </w:r>
            <w:r/>
          </w:p>
        </w:tc>
        <w:tc>
          <w:tcPr>
            <w:tcBorders>
              <w:bottom w:val="single" w:sz="4" w:space="0" w:color="auto"/>
            </w:tcBorders>
            <w:tcW w:w="28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5000</w:t>
            </w:r>
            <w:r/>
          </w:p>
        </w:tc>
      </w:tr>
      <w:tr>
        <w:trPr>
          <w:trHeight w:val="225"/>
        </w:trPr>
        <w:tc>
          <w:tcPr>
            <w:tcW w:w="164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IV-VIII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28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3000</w:t>
            </w:r>
            <w:r/>
          </w:p>
        </w:tc>
      </w:tr>
      <w:tr>
        <w:trPr>
          <w:trHeight w:val="195"/>
        </w:trPr>
        <w:tc>
          <w:tcPr>
            <w:tcW w:w="16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</w:t>
            </w:r>
            <w:r/>
          </w:p>
        </w:tc>
        <w:tc>
          <w:tcPr>
            <w:tcBorders>
              <w:bottom w:val="single" w:sz="4" w:space="0" w:color="auto"/>
            </w:tcBorders>
            <w:tcW w:w="5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</w:t>
            </w:r>
            <w:r/>
          </w:p>
        </w:tc>
        <w:tc>
          <w:tcPr>
            <w:tcBorders>
              <w:bottom w:val="single" w:sz="4" w:space="0" w:color="auto"/>
            </w:tcBorders>
            <w:tcW w:w="28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3000</w:t>
            </w:r>
            <w:r/>
          </w:p>
        </w:tc>
      </w:tr>
      <w:tr>
        <w:trPr>
          <w:trHeight w:val="120"/>
        </w:trPr>
        <w:tc>
          <w:tcPr>
            <w:tcW w:w="164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5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IV-VIII</w:t>
            </w:r>
            <w:r/>
          </w:p>
        </w:tc>
        <w:tc>
          <w:tcPr>
            <w:tcBorders>
              <w:top w:val="single" w:sz="4" w:space="0" w:color="auto"/>
            </w:tcBorders>
            <w:tcW w:w="28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1500</w:t>
            </w:r>
            <w:r/>
          </w:p>
        </w:tc>
      </w:tr>
      <w:tr>
        <w:trPr>
          <w:trHeight w:val="330"/>
        </w:trPr>
        <w:tc>
          <w:tcPr>
            <w:tcW w:w="16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ІІІ- IV</w:t>
            </w:r>
            <w:r/>
          </w:p>
        </w:tc>
        <w:tc>
          <w:tcPr>
            <w:tcW w:w="5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</w:t>
            </w:r>
            <w:r/>
          </w:p>
        </w:tc>
        <w:tc>
          <w:tcPr>
            <w:tcW w:w="28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1000</w:t>
            </w:r>
            <w:r/>
          </w:p>
        </w:tc>
      </w:tr>
      <w:tr>
        <w:trPr>
          <w:trHeight w:val="330"/>
        </w:trPr>
        <w:tc>
          <w:tcPr>
            <w:tcW w:w="16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V-VII</w:t>
            </w:r>
            <w:r/>
          </w:p>
        </w:tc>
        <w:tc>
          <w:tcPr>
            <w:tcW w:w="5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І-ІІІ</w:t>
            </w:r>
            <w:r/>
          </w:p>
        </w:tc>
        <w:tc>
          <w:tcPr>
            <w:tcW w:w="28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500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Фінансове забезпечення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Прогнозований обсяг фінансових ресурсів на 20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20 - 2022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роки: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</w:r>
      <w:r/>
    </w:p>
    <w:tbl>
      <w:tblPr>
        <w:tblStyle w:val="196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842"/>
        <w:gridCol w:w="1774"/>
      </w:tblGrid>
      <w:tr>
        <w:trPr>
          <w:trHeight w:val="343"/>
        </w:trPr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Обсяг фінансування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(тис. грн.)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53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У тому числі за роками</w:t>
            </w:r>
            <w:r/>
          </w:p>
        </w:tc>
      </w:tr>
      <w:tr>
        <w:trPr>
          <w:trHeight w:val="345"/>
        </w:trPr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</w:r>
            <w:r/>
          </w:p>
        </w:tc>
        <w:tc>
          <w:tcPr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2022</w:t>
            </w:r>
            <w:r/>
          </w:p>
        </w:tc>
      </w:tr>
      <w:tr>
        <w:trPr>
          <w:trHeight w:val="69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Місцеві бюджети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953,6</w:t>
            </w:r>
            <w:r/>
          </w:p>
        </w:tc>
        <w:tc>
          <w:tcPr>
            <w:tcBorders>
              <w:right w:val="single" w:sz="4" w:space="0" w:color="auto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314,4</w:t>
            </w:r>
            <w:r/>
          </w:p>
        </w:tc>
        <w:tc>
          <w:tcPr>
            <w:tcBorders>
              <w:left w:val="single" w:sz="4" w:space="0" w:color="auto"/>
            </w:tcBorders>
            <w:tcW w:w="1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377,2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заходів програми відбувається відповідно до положення про захід, кошторису заходу який розробляється Сектором сім’ї, молоді та спорту та подається на погодження міському голові.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Управління та контроль за ходом виконання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Головним виконавцем Програми є 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ектор сім’ї, молоді та спорту Менської міської ради. Контроль за її виконанням здійснює заступник міського голови з питань діяльності виконкому Менської міської ради.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76" w:after="2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/>
    </w:p>
    <w:p>
      <w:pPr>
        <w:ind w:left="5103"/>
        <w:jc w:val="both"/>
        <w:rPr>
          <w:rFonts w:ascii="Times New Roman" w:hAnsi="Times New Roman" w:eastAsia="Times New Roman"/>
          <w:bCs/>
          <w:iCs/>
          <w:sz w:val="20"/>
          <w:szCs w:val="28"/>
          <w:lang w:val="uk-UA" w:eastAsia="ru-RU"/>
        </w:rPr>
        <w:sectPr>
          <w:footerReference w:type="default" r:id="rId8"/>
          <w:footnotePr/>
          <w:type w:val="nextPage"/>
          <w:pgSz w:w="11906" w:h="16838"/>
          <w:pgMar w:top="850" w:right="850" w:bottom="850" w:left="1417" w:gutter="0" w:header="708" w:footer="708"/>
          <w:pgNumType w:start="2"/>
          <w:cols w:num="1" w:sep="0" w:space="708" w:equalWidth="1"/>
          <w:docGrid w:linePitch="360"/>
        </w:sectPr>
      </w:pPr>
      <w:r>
        <w:rPr>
          <w:rFonts w:ascii="Times New Roman" w:hAnsi="Times New Roman" w:eastAsia="Times New Roman"/>
          <w:bCs/>
          <w:iCs/>
          <w:sz w:val="20"/>
          <w:szCs w:val="28"/>
          <w:lang w:val="uk-UA" w:eastAsia="ru-RU"/>
        </w:rPr>
      </w:r>
      <w:r/>
    </w:p>
    <w:p>
      <w:pPr>
        <w:ind w:left="113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iCs/>
          <w:szCs w:val="28"/>
          <w:lang w:val="uk-UA" w:eastAsia="ru-RU"/>
        </w:rPr>
        <w:t xml:space="preserve">Додаток 1</w:t>
      </w:r>
      <w:r>
        <w:rPr>
          <w:rFonts w:ascii="Times New Roman" w:hAnsi="Times New Roman" w:eastAsia="Times New Roman"/>
          <w:bCs/>
          <w:iCs/>
          <w:szCs w:val="28"/>
          <w:lang w:val="uk-UA" w:eastAsia="ru-RU"/>
        </w:rPr>
        <w:t xml:space="preserve"> до </w:t>
      </w:r>
      <w:r>
        <w:rPr>
          <w:rFonts w:ascii="Times New Roman" w:hAnsi="Times New Roman" w:eastAsia="Times New Roman"/>
          <w:bCs/>
          <w:iCs/>
          <w:szCs w:val="28"/>
          <w:lang w:val="uk-UA" w:eastAsia="ru-RU"/>
        </w:rPr>
        <w:t xml:space="preserve">«</w:t>
      </w:r>
      <w:r>
        <w:rPr>
          <w:rFonts w:ascii="Times New Roman" w:hAnsi="Times New Roman"/>
          <w:bCs/>
          <w:iCs/>
          <w:szCs w:val="28"/>
          <w:lang w:val="uk-UA" w:eastAsia="ru-RU"/>
        </w:rPr>
        <w:t xml:space="preserve">Програми розвитку фізичної культури і спорту в Менській об'єднаній територіальній громаді на 2020-2022 роки»</w:t>
      </w:r>
      <w:r/>
    </w:p>
    <w:p>
      <w:pPr>
        <w:ind w:left="11907"/>
        <w:jc w:val="both"/>
        <w:rPr>
          <w:rFonts w:ascii="Times New Roman" w:hAnsi="Times New Roman"/>
          <w:sz w:val="22"/>
          <w:szCs w:val="28"/>
          <w:lang w:val="uk-UA"/>
        </w:rPr>
      </w:pPr>
      <w:r>
        <w:rPr>
          <w:rFonts w:ascii="Times New Roman" w:hAnsi="Times New Roman"/>
          <w:sz w:val="22"/>
          <w:szCs w:val="28"/>
          <w:lang w:val="uk-UA"/>
        </w:rPr>
      </w:r>
      <w:r/>
    </w:p>
    <w:tbl>
      <w:tblPr>
        <w:tblStyle w:val="196"/>
        <w:tblW w:w="0" w:type="auto"/>
        <w:tblLook w:val="04A0" w:firstRow="1" w:lastRow="0" w:firstColumn="1" w:lastColumn="0" w:noHBand="0" w:noVBand="1"/>
      </w:tblPr>
      <w:tblGrid>
        <w:gridCol w:w="881"/>
        <w:gridCol w:w="3340"/>
        <w:gridCol w:w="2126"/>
        <w:gridCol w:w="1701"/>
        <w:gridCol w:w="1350"/>
        <w:gridCol w:w="1545"/>
        <w:gridCol w:w="60"/>
        <w:gridCol w:w="15"/>
        <w:gridCol w:w="1410"/>
        <w:gridCol w:w="30"/>
        <w:gridCol w:w="15"/>
        <w:gridCol w:w="30"/>
        <w:gridCol w:w="30"/>
        <w:gridCol w:w="1455"/>
        <w:gridCol w:w="15"/>
        <w:gridCol w:w="1232"/>
        <w:gridCol w:w="30"/>
      </w:tblGrid>
      <w:tr>
        <w:trPr>
          <w:gridAfter w:val="1"/>
          <w:wAfter w:w="30" w:type="dxa"/>
          <w:trHeight w:val="495"/>
        </w:trPr>
        <w:tc>
          <w:tcPr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з/п</w:t>
            </w:r>
            <w:r/>
          </w:p>
        </w:tc>
        <w:tc>
          <w:tcPr>
            <w:tcW w:w="3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Зміст заходу</w:t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Виконавці</w:t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Термін виконання</w:t>
            </w:r>
            <w:r/>
          </w:p>
        </w:tc>
        <w:tc>
          <w:tcPr>
            <w:tcW w:w="13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Джерела фінансування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/>
              </w:rPr>
              <w:t xml:space="preserve">Обсяги фінансування (тис. грн.)</w:t>
            </w:r>
            <w:r/>
          </w:p>
        </w:tc>
        <w:tc>
          <w:tcPr>
            <w:gridSpan w:val="8"/>
            <w:tcBorders>
              <w:left w:val="single" w:sz="4" w:space="0" w:color="auto"/>
              <w:bottom w:val="single" w:sz="4" w:space="0" w:color="auto"/>
            </w:tcBorders>
            <w:tcW w:w="42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 xml:space="preserve">У тому числі за роками</w:t>
            </w:r>
            <w:r/>
          </w:p>
        </w:tc>
      </w:tr>
      <w:tr>
        <w:trPr>
          <w:gridAfter w:val="1"/>
          <w:wAfter w:w="30" w:type="dxa"/>
          <w:trHeight w:val="424"/>
        </w:trPr>
        <w:tc>
          <w:tcPr>
            <w:tcW w:w="88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tcW w:w="334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tcW w:w="13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 xml:space="preserve">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 xml:space="preserve">2021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</w:tcBorders>
            <w:tcW w:w="1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lang w:val="uk-UA"/>
              </w:rPr>
              <w:t xml:space="preserve">2022</w:t>
            </w:r>
            <w:r/>
          </w:p>
        </w:tc>
      </w:tr>
      <w:tr>
        <w:trPr>
          <w:gridAfter w:val="1"/>
          <w:wAfter w:w="30" w:type="dxa"/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1.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2.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3.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4.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5.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6.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8</w:t>
            </w:r>
            <w:r>
              <w:rPr>
                <w:rFonts w:ascii="Times New Roman" w:hAnsi="Times New Roman"/>
                <w:b/>
                <w:lang w:val="uk-UA"/>
              </w:rPr>
              <w:t xml:space="preserve">.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9.</w:t>
            </w:r>
            <w:r/>
          </w:p>
        </w:tc>
      </w:tr>
      <w:tr>
        <w:trPr>
          <w:gridAfter w:val="1"/>
          <w:wAfter w:w="30" w:type="dxa"/>
          <w:trHeight w:val="500"/>
        </w:trPr>
        <w:tc>
          <w:tcPr>
            <w:gridSpan w:val="16"/>
            <w:tcW w:w="152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І.</w:t>
            </w:r>
            <w:r>
              <w:rPr>
                <w:rFonts w:ascii="Times New Roman" w:hAnsi="Times New Roman"/>
                <w:b/>
                <w:lang w:val="uk-UA"/>
              </w:rPr>
              <w:t xml:space="preserve"> Створення  умов для </w:t>
            </w:r>
            <w:r>
              <w:rPr>
                <w:rFonts w:ascii="Times New Roman" w:hAnsi="Times New Roman"/>
                <w:b/>
                <w:lang w:val="uk-UA"/>
              </w:rPr>
              <w:t xml:space="preserve">забезпечення оптимальної рухової активності різних груп населення для зміцнення здоров’я з урахуванням інтересів здібностей та індивідуальних особливостей кожного</w:t>
            </w:r>
            <w:r/>
          </w:p>
        </w:tc>
      </w:tr>
      <w:tr>
        <w:trPr>
          <w:gridAfter w:val="1"/>
          <w:wAfter w:w="30" w:type="dxa"/>
          <w:trHeight w:val="269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та проведення фізкультурно-оздоровчих і спортивних заходів для різних верств населення.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36,4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14,4</w:t>
            </w:r>
            <w:r/>
          </w:p>
        </w:tc>
      </w:tr>
      <w:tr>
        <w:trPr>
          <w:gridAfter w:val="1"/>
          <w:wAfter w:w="30" w:type="dxa"/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Залучення працюючих осіб підприємств, установ та організацій різних форм власності до занять фізичною культурою і спортом.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</w:tr>
      <w:tr>
        <w:trPr>
          <w:gridAfter w:val="1"/>
          <w:wAfter w:w="30" w:type="dxa"/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Проведення комплексних змагань серед учнів загальноосвітніх навчальних закладів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ради, відділ освіти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18,2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</w:t>
            </w:r>
            <w:r>
              <w:rPr>
                <w:rFonts w:ascii="Times New Roman" w:hAnsi="Times New Roman"/>
                <w:lang w:val="uk-UA"/>
              </w:rPr>
              <w:t xml:space="preserve">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7,2</w:t>
            </w:r>
            <w:r/>
          </w:p>
        </w:tc>
      </w:tr>
      <w:tr>
        <w:trPr>
          <w:gridAfter w:val="1"/>
          <w:wAfter w:w="30" w:type="dxa"/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Проведення на центральних площах, у місцях масового зібрання громадян спортивно-масових заходів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36,4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14,4</w:t>
            </w:r>
            <w:r/>
          </w:p>
        </w:tc>
      </w:tr>
      <w:tr>
        <w:trPr>
          <w:gridAfter w:val="1"/>
          <w:wAfter w:w="30" w:type="dxa"/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Забезпечення участі команд громади у міжрайонних, обласних та всеукраїнських змаганнях (спартакіади, матчеві зустрічі, кубки</w:t>
            </w:r>
            <w:r>
              <w:rPr>
                <w:rFonts w:ascii="Times New Roman" w:hAnsi="Times New Roman"/>
                <w:lang w:val="uk-UA"/>
              </w:rPr>
              <w:t xml:space="preserve">,</w:t>
            </w:r>
            <w:r>
              <w:rPr>
                <w:rFonts w:ascii="Times New Roman" w:hAnsi="Times New Roman"/>
                <w:lang w:val="uk-UA"/>
              </w:rPr>
              <w:t xml:space="preserve"> турніри тощо.)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54,6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21,6</w:t>
            </w:r>
            <w:r/>
          </w:p>
        </w:tc>
      </w:tr>
      <w:tr>
        <w:trPr>
          <w:gridAfter w:val="1"/>
          <w:wAfter w:w="30" w:type="dxa"/>
          <w:trHeight w:val="285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</w:t>
            </w:r>
            <w:r>
              <w:rPr>
                <w:rFonts w:ascii="Times New Roman" w:hAnsi="Times New Roman"/>
                <w:lang w:val="uk-UA"/>
              </w:rPr>
              <w:t xml:space="preserve">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Проведення змагань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серед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допризовної молоді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ради, відділ освіти Менської </w:t>
            </w:r>
            <w:r>
              <w:rPr>
                <w:rFonts w:ascii="Times New Roman" w:hAnsi="Times New Roman"/>
                <w:lang w:val="uk-UA"/>
              </w:rPr>
              <w:t xml:space="preserve">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10,9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3,6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4,3</w:t>
            </w:r>
            <w:r/>
          </w:p>
        </w:tc>
      </w:tr>
      <w:tr>
        <w:trPr>
          <w:gridAfter w:val="1"/>
          <w:wAfter w:w="30" w:type="dxa"/>
          <w:trHeight w:val="285"/>
        </w:trPr>
        <w:tc>
          <w:tcPr>
            <w:gridSpan w:val="3"/>
            <w:tcW w:w="634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156,5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43,0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51,6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61,9</w:t>
            </w:r>
            <w:r/>
          </w:p>
        </w:tc>
      </w:tr>
      <w:tr>
        <w:trPr>
          <w:trHeight w:val="118"/>
        </w:trPr>
        <w:tc>
          <w:tcPr>
            <w:gridSpan w:val="17"/>
            <w:tcW w:w="152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/>
            <w:bookmarkStart w:id="5" w:name="_GoBack"/>
            <w:r/>
            <w:bookmarkEnd w:id="5"/>
            <w:r>
              <w:rPr>
                <w:rFonts w:ascii="Times New Roman" w:hAnsi="Times New Roman"/>
                <w:b/>
                <w:lang w:val="uk-UA"/>
              </w:rPr>
              <w:t xml:space="preserve">ІІ. Забезпечення розвитку дитячо-юнацького спорту</w:t>
            </w:r>
            <w:r/>
          </w:p>
        </w:tc>
      </w:tr>
      <w:tr>
        <w:trPr>
          <w:trHeight w:val="118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Залучення дітей та молоді громади до занять у  Менській дитячо-юнацькій спортивній школі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сім’ї, молоді та спорту Менської міської ради, Менська ДЮСШ, відділ освіти Менської міської ради</w:t>
            </w:r>
            <w:r>
              <w:rPr>
                <w:rFonts w:ascii="Times New Roman" w:hAnsi="Times New Roman"/>
                <w:lang w:val="uk-UA"/>
              </w:rPr>
              <w:t xml:space="preserve">, відділ організаційної роботи та інформаційного забезпечення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2"/>
            <w:tcBorders>
              <w:right w:val="single" w:sz="4" w:space="0" w:color="auto"/>
            </w:tcBorders>
            <w:tcW w:w="1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1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та проведення спортивних змагань місцевого рівня (м</w:t>
            </w:r>
            <w:r>
              <w:rPr>
                <w:rFonts w:ascii="Times New Roman" w:hAnsi="Times New Roman"/>
                <w:lang w:val="uk-UA"/>
              </w:rPr>
              <w:t xml:space="preserve">атчевих зустрічей, міжрайонних змагань, кубків, чемпіонатів</w:t>
            </w:r>
            <w:r>
              <w:rPr>
                <w:rFonts w:ascii="Times New Roman" w:hAnsi="Times New Roman"/>
                <w:lang w:val="uk-UA"/>
              </w:rPr>
              <w:t xml:space="preserve">)</w:t>
            </w:r>
            <w:r>
              <w:rPr>
                <w:rFonts w:ascii="Times New Roman" w:hAnsi="Times New Roman"/>
                <w:lang w:val="uk-UA"/>
              </w:rPr>
              <w:t xml:space="preserve"> з визначених у державі видів спорту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ради, </w:t>
            </w:r>
            <w:r>
              <w:rPr>
                <w:rFonts w:ascii="Times New Roman" w:hAnsi="Times New Roman"/>
                <w:lang w:val="uk-UA"/>
              </w:rPr>
              <w:t xml:space="preserve">Менська ДЮСШ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2"/>
            <w:tcBorders>
              <w:right w:val="single" w:sz="4" w:space="0" w:color="auto"/>
            </w:tcBorders>
            <w:tcW w:w="1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36,4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10,0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1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14,4</w:t>
            </w:r>
            <w:r/>
          </w:p>
        </w:tc>
      </w:tr>
      <w:tr>
        <w:trPr>
          <w:trHeight w:val="118"/>
        </w:trPr>
        <w:tc>
          <w:tcPr>
            <w:gridSpan w:val="3"/>
            <w:tcW w:w="634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2"/>
            <w:tcBorders>
              <w:right w:val="single" w:sz="4" w:space="0" w:color="auto"/>
            </w:tcBorders>
            <w:tcW w:w="1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36,4</w:t>
            </w:r>
            <w:r/>
          </w:p>
        </w:tc>
        <w:tc>
          <w:tcPr>
            <w:gridSpan w:val="5"/>
            <w:tcBorders>
              <w:right w:val="single" w:sz="4" w:space="0" w:color="auto"/>
            </w:tcBorders>
            <w:tcW w:w="1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10,0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15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14,4</w:t>
            </w:r>
            <w:r/>
          </w:p>
        </w:tc>
      </w:tr>
      <w:tr>
        <w:trPr>
          <w:trHeight w:val="118"/>
        </w:trPr>
        <w:tc>
          <w:tcPr>
            <w:gridSpan w:val="17"/>
            <w:tcW w:w="152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ІІІ. </w:t>
            </w:r>
            <w:r>
              <w:rPr>
                <w:rFonts w:ascii="Times New Roman" w:hAnsi="Times New Roman"/>
                <w:b/>
                <w:lang w:val="uk-UA"/>
              </w:rPr>
              <w:t xml:space="preserve">Підтримка та розвиток олімпійського, не олімпійського, </w:t>
            </w:r>
            <w:r>
              <w:rPr>
                <w:rFonts w:ascii="Times New Roman" w:hAnsi="Times New Roman"/>
                <w:b/>
                <w:lang w:val="uk-UA"/>
              </w:rPr>
              <w:t xml:space="preserve">паралімпійського</w:t>
            </w:r>
            <w:r>
              <w:rPr>
                <w:rFonts w:ascii="Times New Roman" w:hAnsi="Times New Roman"/>
                <w:b/>
                <w:lang w:val="uk-UA"/>
              </w:rPr>
              <w:t xml:space="preserve"> та </w:t>
            </w:r>
            <w:r>
              <w:rPr>
                <w:rFonts w:ascii="Times New Roman" w:hAnsi="Times New Roman"/>
                <w:b/>
                <w:lang w:val="uk-UA"/>
              </w:rPr>
              <w:t xml:space="preserve">дефлімпійського</w:t>
            </w:r>
            <w:r>
              <w:rPr>
                <w:rFonts w:ascii="Times New Roman" w:hAnsi="Times New Roman"/>
                <w:b/>
                <w:lang w:val="uk-UA"/>
              </w:rPr>
              <w:t xml:space="preserve"> руху</w:t>
            </w:r>
            <w:r/>
          </w:p>
        </w:tc>
      </w:tr>
      <w:tr>
        <w:trPr>
          <w:trHeight w:val="118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</w:t>
            </w:r>
            <w:r>
              <w:rPr>
                <w:rFonts w:ascii="Times New Roman" w:hAnsi="Times New Roman"/>
                <w:lang w:val="uk-UA"/>
              </w:rPr>
              <w:t xml:space="preserve">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Забезпечення підготовки та участі спортсменів громади різних вікових груп у спортивних змаганнях міжнародного, всеукраїнського, обласного та міжрайонного рівня з визнаних у державі видів спорту (чемпіонати, кубки, турніри тощо).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2"/>
            <w:tcBorders>
              <w:right w:val="single" w:sz="4" w:space="0" w:color="auto"/>
            </w:tcBorders>
            <w:tcW w:w="1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109,2</w:t>
            </w:r>
            <w:r/>
          </w:p>
        </w:tc>
        <w:tc>
          <w:tcPr>
            <w:gridSpan w:val="4"/>
            <w:tcBorders>
              <w:left w:val="single" w:sz="4" w:space="0" w:color="auto"/>
              <w:right w:val="single" w:sz="4" w:space="0" w:color="auto"/>
            </w:tcBorders>
            <w:tcW w:w="14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30,0</w:t>
            </w:r>
            <w:r/>
          </w:p>
        </w:tc>
        <w:tc>
          <w:tcPr>
            <w:gridSpan w:val="4"/>
            <w:tcBorders>
              <w:left w:val="single" w:sz="4" w:space="0" w:color="auto"/>
              <w:right w:val="single" w:sz="4" w:space="0" w:color="auto"/>
            </w:tcBorders>
            <w:tcW w:w="15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36,0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43,2</w:t>
            </w:r>
            <w:r/>
          </w:p>
        </w:tc>
      </w:tr>
      <w:tr>
        <w:trPr>
          <w:trHeight w:val="118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</w:t>
            </w:r>
            <w:r>
              <w:rPr>
                <w:rFonts w:ascii="Times New Roman" w:hAnsi="Times New Roman"/>
                <w:lang w:val="uk-UA"/>
              </w:rPr>
              <w:t xml:space="preserve">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та п</w:t>
            </w:r>
            <w:r>
              <w:rPr>
                <w:rFonts w:ascii="Times New Roman" w:hAnsi="Times New Roman"/>
                <w:lang w:val="uk-UA"/>
              </w:rPr>
              <w:t xml:space="preserve">роведення спортивних змагань з визнаних у державі видів спорту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серед спортсменів різних вікових груп </w:t>
            </w:r>
            <w:r>
              <w:rPr>
                <w:rFonts w:ascii="Times New Roman" w:hAnsi="Times New Roman"/>
                <w:lang w:val="uk-UA"/>
              </w:rPr>
              <w:t xml:space="preserve">(чемпіонати, кубки, турніри тощо)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364,0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14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100,0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120,0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144,0</w:t>
            </w:r>
            <w:r/>
          </w:p>
        </w:tc>
      </w:tr>
      <w:tr>
        <w:trPr>
          <w:trHeight w:val="118"/>
        </w:trPr>
        <w:tc>
          <w:tcPr>
            <w:gridSpan w:val="3"/>
            <w:tcW w:w="6347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473,2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14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130,0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156,0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187,2</w:t>
            </w:r>
            <w:r/>
          </w:p>
        </w:tc>
      </w:tr>
      <w:tr>
        <w:trPr>
          <w:trHeight w:val="118"/>
        </w:trPr>
        <w:tc>
          <w:tcPr>
            <w:gridSpan w:val="17"/>
            <w:tcW w:w="152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IV. Популяризація здорового способу життя та подолання соціальної байдужості до здоров’я населення</w:t>
            </w:r>
            <w:r/>
          </w:p>
        </w:tc>
      </w:tr>
      <w:tr>
        <w:trPr>
          <w:trHeight w:val="118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Забезпечення та сприяння випуску поліграфічної продукції, фото та відеоматеріалів, впровадження соціальної реклами щодо пропаганди здорового способу життя, популяризація занять фізичною культурою та спортом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ради, відділ організаційної роботи та інформаційного забезпечення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14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5,0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7,2</w:t>
            </w:r>
            <w:r/>
          </w:p>
        </w:tc>
      </w:tr>
      <w:tr>
        <w:trPr>
          <w:trHeight w:val="118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та проведення інформаційно-просвітницьких акцій, конкурсів, фізкультурно-оздоровчих заходів </w:t>
            </w:r>
            <w:r>
              <w:rPr>
                <w:rFonts w:ascii="Times New Roman" w:hAnsi="Times New Roman"/>
                <w:lang w:val="uk-UA"/>
              </w:rPr>
              <w:t xml:space="preserve">до дат визначених ВООЗ та МОЗ України: Всесвітнього дня здоров’я, Всесвітнього дня боротьби з </w:t>
            </w:r>
            <w:r>
              <w:rPr>
                <w:rFonts w:ascii="Times New Roman" w:hAnsi="Times New Roman"/>
                <w:lang w:val="uk-UA"/>
              </w:rPr>
              <w:t xml:space="preserve">тютюнопалінням</w:t>
            </w:r>
            <w:r>
              <w:rPr>
                <w:rFonts w:ascii="Times New Roman" w:hAnsi="Times New Roman"/>
                <w:lang w:val="uk-UA"/>
              </w:rPr>
              <w:t xml:space="preserve">, Всесвітнього дня боротьби з наркоманією, Міжнародного дня відмови від паління.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сім’ї, молоді та спорту Менської міської ради, відділ освіти Менської міської ради, відділ організаційної роботи та інформаційного забезпечення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14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gridSpan w:val="3"/>
            <w:tcW w:w="634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gridSpan w:val="3"/>
            <w:tcBorders>
              <w:right w:val="single" w:sz="4" w:space="0" w:color="auto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14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5,0</w:t>
            </w:r>
            <w:r/>
          </w:p>
        </w:tc>
        <w:tc>
          <w:tcPr>
            <w:gridSpan w:val="5"/>
            <w:tcBorders>
              <w:left w:val="single" w:sz="4" w:space="0" w:color="auto"/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7,2</w:t>
            </w:r>
            <w:r/>
          </w:p>
        </w:tc>
      </w:tr>
      <w:tr>
        <w:trPr>
          <w:trHeight w:val="118"/>
        </w:trPr>
        <w:tc>
          <w:tcPr>
            <w:gridSpan w:val="17"/>
            <w:tcW w:w="152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ІV. Поліпшення матеріально-технічної, фінансової</w:t>
            </w:r>
            <w:r>
              <w:rPr>
                <w:rFonts w:ascii="Times New Roman" w:hAnsi="Times New Roman"/>
                <w:b/>
                <w:lang w:val="uk-UA"/>
              </w:rPr>
              <w:t xml:space="preserve">, інформаційного забезпечення</w:t>
            </w:r>
            <w:r>
              <w:rPr>
                <w:rFonts w:ascii="Times New Roman" w:hAnsi="Times New Roman"/>
                <w:b/>
                <w:lang w:val="uk-UA"/>
              </w:rPr>
              <w:t xml:space="preserve"> сфери фізичної культури і спорту</w:t>
            </w:r>
            <w:r/>
          </w:p>
        </w:tc>
      </w:tr>
      <w:tr>
        <w:trPr>
          <w:trHeight w:val="118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Створення спортивних клубів на території Менської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14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6"/>
            <w:tcBorders>
              <w:left w:val="single" w:sz="4" w:space="0" w:color="auto"/>
              <w:right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Придбання спортивного обладнання, екіпірування та інвентарю для клубів, секцій установ які забезпечують розвиток фізичної культури і спорту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218,4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14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60,0</w:t>
            </w:r>
            <w:r/>
          </w:p>
        </w:tc>
        <w:tc>
          <w:tcPr>
            <w:gridSpan w:val="6"/>
            <w:tcBorders>
              <w:left w:val="single" w:sz="4" w:space="0" w:color="auto"/>
              <w:right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72,0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86,4</w:t>
            </w:r>
            <w:r/>
          </w:p>
        </w:tc>
      </w:tr>
      <w:tr>
        <w:trPr>
          <w:trHeight w:val="118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</w:t>
            </w:r>
            <w:r>
              <w:rPr>
                <w:rFonts w:ascii="Times New Roman" w:hAnsi="Times New Roman"/>
                <w:lang w:val="uk-UA"/>
              </w:rPr>
              <w:t xml:space="preserve">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інформаційно-просвітницьких заходів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рівня культури харчування, небезпеки активного та пасивного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тютюнопаління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вживання алкоголю та наркоманії.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</w:t>
            </w:r>
            <w:r>
              <w:rPr>
                <w:rFonts w:ascii="Times New Roman" w:hAnsi="Times New Roman"/>
                <w:lang w:val="uk-UA"/>
              </w:rPr>
              <w:t xml:space="preserve">міської ради</w:t>
            </w:r>
            <w:r>
              <w:rPr>
                <w:rFonts w:ascii="Times New Roman" w:hAnsi="Times New Roman"/>
                <w:lang w:val="uk-UA"/>
              </w:rPr>
              <w:t xml:space="preserve">, відділ освіти Менської міської ради, </w:t>
            </w:r>
            <w:r>
              <w:rPr>
                <w:rFonts w:ascii="Times New Roman" w:hAnsi="Times New Roman"/>
                <w:lang w:val="uk-UA"/>
              </w:rPr>
              <w:t xml:space="preserve">В</w:t>
            </w:r>
            <w:r>
              <w:rPr>
                <w:rFonts w:ascii="Times New Roman" w:hAnsi="Times New Roman"/>
                <w:lang w:val="uk-UA"/>
              </w:rPr>
              <w:t xml:space="preserve">ідділ організаційної роботи та інформаційного забезпечення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14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6"/>
            <w:tcBorders>
              <w:left w:val="single" w:sz="4" w:space="0" w:color="auto"/>
              <w:right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</w:t>
            </w:r>
            <w:r>
              <w:rPr>
                <w:rFonts w:ascii="Times New Roman" w:hAnsi="Times New Roman"/>
                <w:lang w:val="uk-UA"/>
              </w:rPr>
              <w:t xml:space="preserve">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Підведення підсумків спортивного року (нагородження кращих спортсменів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, тренерів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команд Менської об’єднаної територіальної громади)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50,9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14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14,0</w:t>
            </w:r>
            <w:r/>
          </w:p>
        </w:tc>
        <w:tc>
          <w:tcPr>
            <w:gridSpan w:val="6"/>
            <w:tcBorders>
              <w:left w:val="single" w:sz="4" w:space="0" w:color="auto"/>
              <w:right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16,8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20,1</w:t>
            </w:r>
            <w:r/>
          </w:p>
        </w:tc>
      </w:tr>
      <w:tr>
        <w:trPr>
          <w:trHeight w:val="118"/>
        </w:trPr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</w:t>
            </w:r>
            <w:r/>
          </w:p>
        </w:tc>
        <w:tc>
          <w:tcPr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Залучення до співпраці, підприємств, установ громадських організацій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(в тому числі фізкультурно-спортивної спрямованості)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для розвитку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фізичної культури і спорту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Менська міська рада, Сектор сім’ї молоді та спорту Менської міської ради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14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6"/>
            <w:tcBorders>
              <w:left w:val="single" w:sz="4" w:space="0" w:color="auto"/>
              <w:right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gridSpan w:val="3"/>
            <w:tcW w:w="634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ВСЬОГО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2020-22</w:t>
            </w:r>
            <w:r>
              <w:rPr>
                <w:rFonts w:ascii="Times New Roman" w:hAnsi="Times New Roman"/>
                <w:lang w:val="uk-UA"/>
              </w:rPr>
              <w:t xml:space="preserve"> роки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269,3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14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74,0</w:t>
            </w:r>
            <w:r/>
          </w:p>
        </w:tc>
        <w:tc>
          <w:tcPr>
            <w:gridSpan w:val="6"/>
            <w:tcBorders>
              <w:left w:val="single" w:sz="4" w:space="0" w:color="auto"/>
              <w:right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88</w:t>
            </w:r>
            <w:r>
              <w:rPr>
                <w:rFonts w:ascii="Times New Roman" w:hAnsi="Times New Roman"/>
                <w:lang w:val="uk-UA"/>
              </w:rPr>
              <w:t xml:space="preserve">,8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106,5</w:t>
            </w:r>
            <w:r/>
          </w:p>
        </w:tc>
      </w:tr>
      <w:tr>
        <w:trPr>
          <w:trHeight w:val="118"/>
        </w:trPr>
        <w:tc>
          <w:tcPr>
            <w:gridSpan w:val="4"/>
            <w:tcW w:w="804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РАЗОМ</w:t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1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953,6</w:t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14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262,0</w:t>
            </w:r>
            <w:r/>
          </w:p>
        </w:tc>
        <w:tc>
          <w:tcPr>
            <w:gridSpan w:val="6"/>
            <w:tcBorders>
              <w:left w:val="single" w:sz="4" w:space="0" w:color="auto"/>
              <w:right w:val="single" w:sz="4" w:space="0" w:color="auto"/>
            </w:tcBorders>
            <w:tcW w:w="1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314,4</w:t>
            </w:r>
            <w:r/>
          </w:p>
        </w:tc>
        <w:tc>
          <w:tcPr>
            <w:gridSpan w:val="2"/>
            <w:tcBorders>
              <w:left w:val="single" w:sz="4" w:space="0" w:color="auto"/>
            </w:tcBorders>
            <w:tcW w:w="1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377,2</w:t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6838" w:h="11906" w:orient="landscape"/>
      <w:pgMar w:top="851" w:right="851" w:bottom="851" w:left="851" w:gutter="0" w:header="709" w:footer="709"/>
      <w:pgNumType w:start="2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Himalaya">
    <w:panose1 w:val="01000503020000020002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9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3698" w:hanging="719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2007" w:hanging="719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2727" w:hanging="1079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3087" w:hanging="1079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3807" w:hanging="1439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4527" w:hanging="179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4887" w:hanging="1799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5607" w:hanging="21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92"/>
    <w:link w:val="18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92"/>
    <w:link w:val="18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2"/>
    <w:link w:val="18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2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2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2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2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2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2"/>
    <w:link w:val="19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2"/>
    <w:link w:val="206"/>
    <w:uiPriority w:val="10"/>
    <w:rPr>
      <w:sz w:val="48"/>
      <w:szCs w:val="48"/>
    </w:rPr>
  </w:style>
  <w:style w:type="character" w:styleId="35">
    <w:name w:val="Subtitle Char"/>
    <w:basedOn w:val="192"/>
    <w:link w:val="208"/>
    <w:uiPriority w:val="11"/>
    <w:rPr>
      <w:sz w:val="24"/>
      <w:szCs w:val="24"/>
    </w:rPr>
  </w:style>
  <w:style w:type="character" w:styleId="37">
    <w:name w:val="Quote Char"/>
    <w:link w:val="213"/>
    <w:uiPriority w:val="29"/>
    <w:rPr>
      <w:i/>
    </w:rPr>
  </w:style>
  <w:style w:type="character" w:styleId="39">
    <w:name w:val="Intense Quote Char"/>
    <w:link w:val="215"/>
    <w:uiPriority w:val="30"/>
    <w:rPr>
      <w:i/>
    </w:rPr>
  </w:style>
  <w:style w:type="character" w:styleId="41">
    <w:name w:val="Header Char"/>
    <w:basedOn w:val="192"/>
    <w:link w:val="224"/>
    <w:uiPriority w:val="99"/>
  </w:style>
  <w:style w:type="character" w:styleId="43">
    <w:name w:val="Footer Char"/>
    <w:basedOn w:val="192"/>
    <w:link w:val="226"/>
    <w:uiPriority w:val="99"/>
  </w:style>
  <w:style w:type="table" w:styleId="45">
    <w:name w:val="Lined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8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92"/>
    <w:uiPriority w:val="99"/>
    <w:unhideWhenUsed/>
    <w:rPr>
      <w:vertAlign w:val="superscript"/>
    </w:rPr>
  </w:style>
  <w:style w:type="paragraph" w:styleId="70">
    <w:name w:val="toc 1"/>
    <w:basedOn w:val="182"/>
    <w:next w:val="182"/>
    <w:uiPriority w:val="39"/>
    <w:unhideWhenUsed/>
    <w:pPr>
      <w:ind w:left="0" w:right="0" w:hanging="0"/>
      <w:spacing w:after="57"/>
    </w:pPr>
  </w:style>
  <w:style w:type="paragraph" w:styleId="71">
    <w:name w:val="toc 2"/>
    <w:basedOn w:val="182"/>
    <w:next w:val="18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2"/>
    <w:next w:val="18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2"/>
    <w:next w:val="18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2"/>
    <w:next w:val="18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2"/>
    <w:next w:val="18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2"/>
    <w:next w:val="18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2"/>
    <w:next w:val="18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2"/>
    <w:next w:val="182"/>
    <w:uiPriority w:val="39"/>
    <w:unhideWhenUsed/>
    <w:pPr>
      <w:ind w:left="2268" w:right="0" w:hanging="0"/>
      <w:spacing w:after="57"/>
    </w:pPr>
  </w:style>
  <w:style w:type="paragraph" w:styleId="182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183">
    <w:name w:val="Heading 1"/>
    <w:basedOn w:val="182"/>
    <w:next w:val="182"/>
    <w:link w:val="197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184">
    <w:name w:val="Heading 2"/>
    <w:basedOn w:val="182"/>
    <w:next w:val="182"/>
    <w:link w:val="198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185">
    <w:name w:val="Heading 3"/>
    <w:basedOn w:val="182"/>
    <w:next w:val="182"/>
    <w:link w:val="199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186">
    <w:name w:val="Heading 4"/>
    <w:basedOn w:val="182"/>
    <w:next w:val="182"/>
    <w:link w:val="200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187">
    <w:name w:val="Heading 5"/>
    <w:basedOn w:val="182"/>
    <w:next w:val="182"/>
    <w:link w:val="201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188">
    <w:name w:val="Heading 6"/>
    <w:basedOn w:val="182"/>
    <w:next w:val="182"/>
    <w:link w:val="202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189">
    <w:name w:val="Heading 7"/>
    <w:basedOn w:val="182"/>
    <w:next w:val="182"/>
    <w:link w:val="203"/>
    <w:qFormat/>
    <w:uiPriority w:val="9"/>
    <w:semiHidden/>
    <w:unhideWhenUsed/>
    <w:pPr>
      <w:spacing w:after="60" w:before="240"/>
      <w:outlineLvl w:val="6"/>
    </w:pPr>
  </w:style>
  <w:style w:type="paragraph" w:styleId="190">
    <w:name w:val="Heading 8"/>
    <w:basedOn w:val="182"/>
    <w:next w:val="182"/>
    <w:link w:val="204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191">
    <w:name w:val="Heading 9"/>
    <w:basedOn w:val="182"/>
    <w:next w:val="182"/>
    <w:link w:val="205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192" w:default="1">
    <w:name w:val="Default Paragraph Font"/>
    <w:uiPriority w:val="1"/>
    <w:semiHidden/>
    <w:unhideWhenUsed/>
  </w:style>
  <w:style w:type="table" w:styleId="1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4" w:default="1">
    <w:name w:val="No List"/>
    <w:uiPriority w:val="99"/>
    <w:semiHidden/>
    <w:unhideWhenUsed/>
  </w:style>
  <w:style w:type="paragraph" w:styleId="195">
    <w:name w:val="List Paragraph"/>
    <w:basedOn w:val="182"/>
    <w:qFormat/>
    <w:uiPriority w:val="34"/>
    <w:pPr>
      <w:contextualSpacing w:val="true"/>
      <w:ind w:left="720"/>
    </w:pPr>
  </w:style>
  <w:style w:type="table" w:styleId="196">
    <w:name w:val="Table Grid"/>
    <w:basedOn w:val="1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97" w:customStyle="1">
    <w:name w:val="Заголовок 1 Знак"/>
    <w:basedOn w:val="192"/>
    <w:link w:val="183"/>
    <w:uiPriority w:val="9"/>
    <w:rPr>
      <w:rFonts w:ascii="Cambria" w:hAnsi="Cambria" w:eastAsia="Cambria"/>
      <w:b/>
      <w:bCs/>
      <w:sz w:val="32"/>
      <w:szCs w:val="32"/>
    </w:rPr>
  </w:style>
  <w:style w:type="character" w:styleId="198" w:customStyle="1">
    <w:name w:val="Заголовок 2 Знак"/>
    <w:basedOn w:val="192"/>
    <w:link w:val="184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199" w:customStyle="1">
    <w:name w:val="Заголовок 3 Знак"/>
    <w:basedOn w:val="192"/>
    <w:link w:val="185"/>
    <w:uiPriority w:val="9"/>
    <w:rPr>
      <w:rFonts w:ascii="Cambria" w:hAnsi="Cambria" w:eastAsia="Cambria"/>
      <w:b/>
      <w:bCs/>
      <w:sz w:val="26"/>
      <w:szCs w:val="26"/>
    </w:rPr>
  </w:style>
  <w:style w:type="character" w:styleId="200" w:customStyle="1">
    <w:name w:val="Заголовок 4 Знак"/>
    <w:basedOn w:val="192"/>
    <w:link w:val="186"/>
    <w:uiPriority w:val="9"/>
    <w:rPr>
      <w:b/>
      <w:bCs/>
      <w:sz w:val="28"/>
      <w:szCs w:val="28"/>
    </w:rPr>
  </w:style>
  <w:style w:type="character" w:styleId="201" w:customStyle="1">
    <w:name w:val="Заголовок 5 Знак"/>
    <w:basedOn w:val="192"/>
    <w:link w:val="187"/>
    <w:uiPriority w:val="9"/>
    <w:semiHidden/>
    <w:rPr>
      <w:b/>
      <w:bCs/>
      <w:i/>
      <w:iCs/>
      <w:sz w:val="26"/>
      <w:szCs w:val="26"/>
    </w:rPr>
  </w:style>
  <w:style w:type="character" w:styleId="202" w:customStyle="1">
    <w:name w:val="Заголовок 6 Знак"/>
    <w:basedOn w:val="192"/>
    <w:link w:val="188"/>
    <w:uiPriority w:val="9"/>
    <w:semiHidden/>
    <w:rPr>
      <w:b/>
      <w:bCs/>
    </w:rPr>
  </w:style>
  <w:style w:type="character" w:styleId="203" w:customStyle="1">
    <w:name w:val="Заголовок 7 Знак"/>
    <w:basedOn w:val="192"/>
    <w:link w:val="189"/>
    <w:uiPriority w:val="9"/>
    <w:semiHidden/>
    <w:rPr>
      <w:sz w:val="24"/>
      <w:szCs w:val="24"/>
    </w:rPr>
  </w:style>
  <w:style w:type="character" w:styleId="204" w:customStyle="1">
    <w:name w:val="Заголовок 8 Знак"/>
    <w:basedOn w:val="192"/>
    <w:link w:val="190"/>
    <w:uiPriority w:val="9"/>
    <w:semiHidden/>
    <w:rPr>
      <w:i/>
      <w:iCs/>
      <w:sz w:val="24"/>
      <w:szCs w:val="24"/>
    </w:rPr>
  </w:style>
  <w:style w:type="character" w:styleId="205" w:customStyle="1">
    <w:name w:val="Заголовок 9 Знак"/>
    <w:basedOn w:val="192"/>
    <w:link w:val="191"/>
    <w:uiPriority w:val="9"/>
    <w:semiHidden/>
    <w:rPr>
      <w:rFonts w:ascii="Cambria" w:hAnsi="Cambria" w:eastAsia="Cambria"/>
    </w:rPr>
  </w:style>
  <w:style w:type="paragraph" w:styleId="206">
    <w:name w:val="Title"/>
    <w:basedOn w:val="182"/>
    <w:next w:val="182"/>
    <w:link w:val="207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207" w:customStyle="1">
    <w:name w:val="Название Знак"/>
    <w:basedOn w:val="192"/>
    <w:link w:val="206"/>
    <w:uiPriority w:val="10"/>
    <w:rPr>
      <w:rFonts w:ascii="Cambria" w:hAnsi="Cambria" w:eastAsia="Cambria"/>
      <w:b/>
      <w:bCs/>
      <w:sz w:val="32"/>
      <w:szCs w:val="32"/>
    </w:rPr>
  </w:style>
  <w:style w:type="paragraph" w:styleId="208">
    <w:name w:val="Subtitle"/>
    <w:basedOn w:val="182"/>
    <w:next w:val="182"/>
    <w:link w:val="209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209" w:customStyle="1">
    <w:name w:val="Подзаголовок Знак"/>
    <w:basedOn w:val="192"/>
    <w:link w:val="208"/>
    <w:uiPriority w:val="11"/>
    <w:rPr>
      <w:rFonts w:ascii="Cambria" w:hAnsi="Cambria" w:eastAsia="Cambria"/>
      <w:sz w:val="24"/>
      <w:szCs w:val="24"/>
    </w:rPr>
  </w:style>
  <w:style w:type="character" w:styleId="210">
    <w:name w:val="Strong"/>
    <w:basedOn w:val="192"/>
    <w:qFormat/>
    <w:uiPriority w:val="22"/>
    <w:rPr>
      <w:b/>
      <w:bCs/>
    </w:rPr>
  </w:style>
  <w:style w:type="character" w:styleId="211">
    <w:name w:val="Emphasis"/>
    <w:basedOn w:val="192"/>
    <w:qFormat/>
    <w:uiPriority w:val="20"/>
    <w:rPr>
      <w:rFonts w:ascii="Calibri" w:hAnsi="Calibri"/>
      <w:b/>
      <w:i/>
      <w:iCs/>
    </w:rPr>
  </w:style>
  <w:style w:type="paragraph" w:styleId="212">
    <w:name w:val="No Spacing"/>
    <w:basedOn w:val="182"/>
    <w:qFormat/>
    <w:uiPriority w:val="1"/>
    <w:rPr>
      <w:szCs w:val="32"/>
    </w:rPr>
  </w:style>
  <w:style w:type="paragraph" w:styleId="213">
    <w:name w:val="Quote"/>
    <w:basedOn w:val="182"/>
    <w:next w:val="182"/>
    <w:link w:val="214"/>
    <w:qFormat/>
    <w:uiPriority w:val="29"/>
    <w:rPr>
      <w:i/>
    </w:rPr>
  </w:style>
  <w:style w:type="character" w:styleId="214" w:customStyle="1">
    <w:name w:val="Цитата 2 Знак"/>
    <w:basedOn w:val="192"/>
    <w:link w:val="213"/>
    <w:uiPriority w:val="29"/>
    <w:rPr>
      <w:i/>
      <w:sz w:val="24"/>
      <w:szCs w:val="24"/>
    </w:rPr>
  </w:style>
  <w:style w:type="paragraph" w:styleId="215">
    <w:name w:val="Intense Quote"/>
    <w:basedOn w:val="182"/>
    <w:next w:val="182"/>
    <w:link w:val="216"/>
    <w:qFormat/>
    <w:uiPriority w:val="30"/>
    <w:rPr>
      <w:b/>
      <w:i/>
      <w:szCs w:val="22"/>
    </w:rPr>
    <w:pPr>
      <w:ind w:left="720" w:right="720"/>
    </w:pPr>
  </w:style>
  <w:style w:type="character" w:styleId="216" w:customStyle="1">
    <w:name w:val="Выделенная цитата Знак"/>
    <w:basedOn w:val="192"/>
    <w:link w:val="215"/>
    <w:uiPriority w:val="30"/>
    <w:rPr>
      <w:b/>
      <w:i/>
      <w:sz w:val="24"/>
    </w:rPr>
  </w:style>
  <w:style w:type="character" w:styleId="217">
    <w:name w:val="Subtle Emphasis"/>
    <w:qFormat/>
    <w:uiPriority w:val="19"/>
    <w:rPr>
      <w:i/>
      <w:color w:val="5A5A5A" w:themeColor="text1" w:themeTint="A5"/>
    </w:rPr>
  </w:style>
  <w:style w:type="character" w:styleId="218">
    <w:name w:val="Intense Emphasis"/>
    <w:basedOn w:val="192"/>
    <w:qFormat/>
    <w:uiPriority w:val="21"/>
    <w:rPr>
      <w:b/>
      <w:i/>
      <w:sz w:val="24"/>
      <w:szCs w:val="24"/>
      <w:u w:val="single"/>
    </w:rPr>
  </w:style>
  <w:style w:type="character" w:styleId="219">
    <w:name w:val="Subtle Reference"/>
    <w:basedOn w:val="192"/>
    <w:qFormat/>
    <w:uiPriority w:val="31"/>
    <w:rPr>
      <w:sz w:val="24"/>
      <w:szCs w:val="24"/>
      <w:u w:val="single"/>
    </w:rPr>
  </w:style>
  <w:style w:type="character" w:styleId="220">
    <w:name w:val="Intense Reference"/>
    <w:basedOn w:val="192"/>
    <w:qFormat/>
    <w:uiPriority w:val="32"/>
    <w:rPr>
      <w:b/>
      <w:sz w:val="24"/>
      <w:u w:val="single"/>
    </w:rPr>
  </w:style>
  <w:style w:type="character" w:styleId="221">
    <w:name w:val="Book Title"/>
    <w:basedOn w:val="192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222">
    <w:name w:val="TOC Heading"/>
    <w:basedOn w:val="183"/>
    <w:next w:val="182"/>
    <w:qFormat/>
    <w:uiPriority w:val="39"/>
    <w:semiHidden/>
    <w:unhideWhenUsed/>
    <w:pPr>
      <w:outlineLvl w:val="9"/>
    </w:pPr>
  </w:style>
  <w:style w:type="paragraph" w:styleId="223" w:customStyle="1">
    <w:name w:val="rvps2"/>
    <w:basedOn w:val="182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paragraph" w:styleId="224">
    <w:name w:val="Header"/>
    <w:basedOn w:val="182"/>
    <w:link w:val="22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225" w:customStyle="1">
    <w:name w:val="Верхний колонтитул Знак"/>
    <w:basedOn w:val="192"/>
    <w:link w:val="224"/>
    <w:uiPriority w:val="99"/>
    <w:semiHidden/>
    <w:rPr>
      <w:sz w:val="24"/>
      <w:szCs w:val="24"/>
    </w:rPr>
  </w:style>
  <w:style w:type="paragraph" w:styleId="226">
    <w:name w:val="Footer"/>
    <w:basedOn w:val="182"/>
    <w:link w:val="22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27" w:customStyle="1">
    <w:name w:val="Нижний колонтитул Знак"/>
    <w:basedOn w:val="192"/>
    <w:link w:val="226"/>
    <w:uiPriority w:val="99"/>
    <w:rPr>
      <w:sz w:val="24"/>
      <w:szCs w:val="24"/>
    </w:rPr>
  </w:style>
  <w:style w:type="paragraph" w:styleId="228">
    <w:name w:val="Balloon Text"/>
    <w:basedOn w:val="182"/>
    <w:link w:val="229"/>
    <w:uiPriority w:val="99"/>
    <w:semiHidden/>
    <w:unhideWhenUsed/>
    <w:rPr>
      <w:rFonts w:ascii="Tahoma" w:hAnsi="Tahoma" w:cs="Tahoma"/>
      <w:sz w:val="16"/>
      <w:szCs w:val="16"/>
    </w:rPr>
  </w:style>
  <w:style w:type="character" w:styleId="229" w:customStyle="1">
    <w:name w:val="Текст выноски Знак"/>
    <w:basedOn w:val="192"/>
    <w:link w:val="228"/>
    <w:uiPriority w:val="99"/>
    <w:semiHidden/>
    <w:rPr>
      <w:rFonts w:ascii="Tahoma" w:hAnsi="Tahoma" w:cs="Tahoma"/>
      <w:sz w:val="16"/>
      <w:szCs w:val="16"/>
    </w:rPr>
  </w:style>
  <w:style w:type="character" w:styleId="230">
    <w:name w:val="Hyperlink"/>
    <w:basedOn w:val="19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wmf"/><Relationship Id="rId10" Type="http://schemas.openxmlformats.org/officeDocument/2006/relationships/hyperlink" Target="https://uk.wikipedia.org/wiki/%D0%86%D0%B4%D0%B5%D0%BD%D1%82%D0%B8%D1%84%D1%96%D0%BA%D0%B0%D1%86%D1%96%D0%B9%D0%BD%D0%B8%D0%B9_%D0%BD%D0%BE%D0%BC%D0%B5%D1%80_%D1%84%D1%96%D0%B7%D0%B8%D1%87%D0%BD%D0%BE%D1%97_%D0%BE%D1%81%D0%BE%D0%B1%D0%B8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