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РІШЕННЯ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14 листопада 2019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  <w:t xml:space="preserve">м.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  <w:t xml:space="preserve">№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left="0" w:right="5387" w:hanging="0"/>
        <w:jc w:val="both"/>
        <w:keepNext/>
        <w:rPr>
          <w:rFonts w:ascii="Times New Roman" w:hAnsi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погодження програми «Молодь Менської громади» на 2020-2022 роки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проведення Конкурсу молодіжних та дитячих ініціатив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b/>
        </w:rPr>
      </w:r>
    </w:p>
    <w:p>
      <w:pPr>
        <w:ind w:right="4535"/>
        <w:keepNext/>
        <w:rPr>
          <w:rFonts w:ascii="Times New Roman" w:hAnsi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1 частини 2 статті 52 Закону України "Про місцеве самоврядування в Україні", відповідно до Закону України </w:t>
      </w:r>
      <w:hyperlink r:id="rId9" w:history="1">
        <w:r>
          <w:rPr>
            <w:rStyle w:val="22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«Про сприяння соціальному становленню та розвитку молоді в Україні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pStyle w:val="212"/>
        <w:numPr>
          <w:ilvl w:val="0"/>
          <w:numId w:val="6"/>
        </w:numPr>
        <w:ind w:left="0" w:firstLine="486"/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Програму «Молодь Менської громади» на 2020-2022 роки та викласти у новій редакції, Додаток 1;</w:t>
      </w:r>
      <w:r/>
    </w:p>
    <w:p>
      <w:pPr>
        <w:ind w:firstLine="426"/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Положення про проведення Конкурсу молодіжних та дитячих ініціатив</w:t>
      </w:r>
      <w:r>
        <w:rPr>
          <w:rFonts w:ascii="Times New Roman" w:hAnsi="Times New Roman"/>
          <w:sz w:val="28"/>
          <w:szCs w:val="28"/>
          <w:lang w:val="uk-UA"/>
        </w:rPr>
        <w:t xml:space="preserve">, Додаток 2.</w:t>
      </w:r>
      <w:r/>
    </w:p>
    <w:p>
      <w:pPr>
        <w:ind w:firstLine="426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дане рішення на розгляд сесії Менської міської ради.</w:t>
      </w:r>
      <w:r/>
    </w:p>
    <w:p>
      <w:pPr>
        <w:ind w:firstLine="426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з питань діяльності виконкому Менської міської ради Т.С. </w:t>
      </w:r>
      <w:r>
        <w:rPr>
          <w:rFonts w:ascii="Times New Roman" w:hAnsi="Times New Roman"/>
          <w:sz w:val="28"/>
          <w:szCs w:val="28"/>
          <w:lang w:val="uk-UA"/>
        </w:rPr>
        <w:t xml:space="preserve">Вишняк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  <w:tab w:val="left" w:pos="680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spacing w:lineRule="auto" w:line="276" w:after="200"/>
        <w:rPr>
          <w:rFonts w:ascii="Times New Roman" w:hAnsi="Times New Roman" w:eastAsia="Times New Roman"/>
          <w:bCs/>
          <w:iCs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iCs/>
          <w:szCs w:val="28"/>
          <w:lang w:val="uk-UA" w:eastAsia="ru-RU"/>
        </w:rPr>
        <w:br w:type="page"/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lang w:val="uk-UA" w:eastAsia="ru-RU"/>
        </w:rPr>
        <w:t xml:space="preserve">Додаток 1 до рішення виконкому Менської міської ради «</w:t>
      </w:r>
      <w:r>
        <w:rPr>
          <w:rFonts w:ascii="Times New Roman" w:hAnsi="Times New Roman" w:eastAsia="Times New Roman"/>
          <w:lang w:val="uk-UA" w:eastAsia="ru-RU"/>
        </w:rPr>
      </w:r>
      <w:r/>
      <w:r>
        <w:rPr>
          <w:rFonts w:ascii="Times New Roman" w:hAnsi="Times New Roman" w:eastAsia="Times New Roman"/>
          <w:szCs w:val="28"/>
          <w:lang w:val="uk-UA" w:eastAsia="ru-RU"/>
        </w:rPr>
        <w:t xml:space="preserve">Про погодження програми «Молодь Менської громади» на 2020-2022 роки та </w:t>
      </w:r>
      <w:r>
        <w:rPr>
          <w:rFonts w:ascii="Times New Roman" w:hAnsi="Times New Roman" w:eastAsia="Times New Roman"/>
          <w:szCs w:val="28"/>
          <w:lang w:val="uk-UA" w:eastAsia="ru-RU"/>
        </w:rPr>
        <w:t xml:space="preserve">Положення про проведення Конкурсу молодіжних та дитячих ініціатив</w:t>
      </w:r>
      <w:r>
        <w:rPr>
          <w:rFonts w:ascii="Times New Roman" w:hAnsi="Times New Roman" w:eastAsia="Times New Roman"/>
          <w:szCs w:val="28"/>
          <w:lang w:val="uk-UA" w:eastAsia="ru-RU"/>
        </w:rPr>
      </w:r>
      <w:r>
        <w:rPr>
          <w:rFonts w:ascii="Times New Roman" w:hAnsi="Times New Roman" w:eastAsia="Times New Roman"/>
          <w:lang w:val="uk-UA" w:eastAsia="ru-RU"/>
        </w:rPr>
      </w:r>
    </w:p>
    <w:p>
      <w:pPr>
        <w:ind w:left="5387"/>
        <w:rPr>
          <w:rFonts w:ascii="Times New Roman" w:hAnsi="Times New Roman" w:eastAsia="Times New Roman"/>
          <w:szCs w:val="28"/>
          <w:lang w:val="uk-UA" w:eastAsia="ru-RU"/>
        </w:rPr>
      </w:pPr>
      <w:r>
        <w:rPr>
          <w:rFonts w:ascii="Times New Roman" w:hAnsi="Times New Roman" w:eastAsia="Times New Roman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ПРОГРАМА</w:t>
      </w:r>
      <w:r/>
    </w:p>
    <w:p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«Молодь Менської громади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»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на 2020-2022 роки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2019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ХАРАКТЕРИСТИКА</w:t>
      </w:r>
      <w:r/>
    </w:p>
    <w:tbl>
      <w:tblPr>
        <w:tblStyle w:val="22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785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Виконавець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сім’ї, молоді та спорту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сім’ї, молоді та спорту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Служба у справах дітей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енський міський центр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, дітей та молоді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20-2022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бюджетів, задіяних у виконання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Місцевий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інші джерела фінансування незаборонені 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(тис. грн.)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Всього: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1 425,0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роках: 2020 рік -400,0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рік -475,0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 -550,0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Місцевий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інші джерела фінансування незаборонені законодавством</w:t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Визначення проблеми, на розв’язання якої спрямована Програма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Молодь є важливою складовою сучасного українського суспільства, носієм інтелектуального потенціалу, визначальним фактором соціально-економічного прогресу. Від здатності молоді бути активною творчою силою значною мірою залежить процес державотворення.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Здобуття Україною незалежності, становлення громадянського суспільства створили передумови для розвитку вільної, духовно розвиненої особистості, здатної засвоїти кращі надбання світової і національної духовної спадщини, загальнолюдські цінності.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Надзвичайно важливим є питання щодо формування духовних потреб молоді, заінтересованості у пізнанні історичної спадщини народу, залучення її до культурного життя.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Соціальне становище молоді як однієї з найбільш  вразливих категорій населення, що характеризується наявністю амбіцій, завищених очікувань, пошуком власного шляху і прагненням до самореалізації, є показником успішності суспільства, можливості реалізації йог</w:t>
      </w:r>
      <w:r>
        <w:rPr>
          <w:rFonts w:ascii="Times New Roman" w:hAnsi="Times New Roman"/>
          <w:sz w:val="28"/>
          <w:szCs w:val="28"/>
          <w:lang w:val="uk-UA"/>
        </w:rPr>
        <w:t xml:space="preserve">о потенціалу.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Молодь перебуває у складній ситуації, коли в умовах стрімкого розвитку  інформаційних технологій, збільшення кількості життєвих проблем у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представників молодого покоління формується так званий комплекс </w:t>
      </w:r>
      <w:r>
        <w:rPr>
          <w:rFonts w:ascii="Times New Roman" w:hAnsi="Times New Roman"/>
          <w:sz w:val="28"/>
          <w:szCs w:val="28"/>
          <w:lang w:val="uk-UA"/>
        </w:rPr>
        <w:t xml:space="preserve">незадоволеності.</w:t>
      </w:r>
      <w:r>
        <w:rPr>
          <w:rFonts w:ascii="Times New Roman" w:hAnsi="Times New Roman"/>
          <w:sz w:val="28"/>
          <w:szCs w:val="28"/>
          <w:lang w:val="uk-UA"/>
        </w:rPr>
        <w:t xml:space="preserve"> Отже, держава повинна забезпечити право на перше робоче місце навіть за відсутності практичного досвіду у випускників навчальних закладів. 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Молодь відіграє важливу роль у соціальних процесах розбудови демократичної держави. Проте, незважаючи на певні позитивні зміни, які   відбуваються у молодіжному середовищі, все ще існують проблеми, зокрема   погіршуються показники здоров’я молодих громадян,</w:t>
      </w:r>
      <w:r>
        <w:rPr>
          <w:rFonts w:ascii="Times New Roman" w:hAnsi="Times New Roman"/>
          <w:sz w:val="28"/>
          <w:szCs w:val="28"/>
          <w:lang w:val="uk-UA"/>
        </w:rPr>
        <w:t xml:space="preserve"> не подолана   демографічна криза, спостерігається тенденція щодо поширення в молодіжному  середовищі наркоманії та захворюваності на ВІЛ/СНІД, збільшується кількість  померлих у молодому віці. Освітній потенціал молоді значною мірою не  реалізується через </w:t>
      </w:r>
      <w:r>
        <w:rPr>
          <w:rFonts w:ascii="Times New Roman" w:hAnsi="Times New Roman"/>
          <w:sz w:val="28"/>
          <w:szCs w:val="28"/>
          <w:lang w:val="uk-UA"/>
        </w:rPr>
        <w:t xml:space="preserve">невідповідність між попитом та пропозицією на ринку праці. 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Мета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є створення системи всебічної підтримки громадянської активності молоді, спрямованої на самовизначення і самореалізацію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 w:eastAsia="Times New Roman"/>
          <w:b/>
          <w:bCs/>
          <w:color w:val="000000"/>
          <w:sz w:val="28"/>
          <w:lang w:val="uk-UA"/>
        </w:rPr>
        <w:t xml:space="preserve">Обґрунтування</w:t>
      </w:r>
      <w:r>
        <w:rPr>
          <w:rFonts w:ascii="Times New Roman" w:hAnsi="Times New Roman" w:eastAsia="Times New Roman"/>
          <w:b/>
          <w:bCs/>
          <w:color w:val="000000"/>
          <w:sz w:val="28"/>
          <w:lang w:val="uk-UA"/>
        </w:rPr>
        <w:t xml:space="preserve"> шляхів і засобів розв’язання проблеми обсягів </w:t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 xml:space="preserve">та джерел фінансування,</w:t>
      </w:r>
      <w:r>
        <w:rPr>
          <w:rFonts w:ascii="Times New Roman" w:hAnsi="Times New Roman" w:eastAsia="Times New Roman"/>
          <w:b/>
          <w:bCs/>
          <w:color w:val="000000"/>
          <w:sz w:val="28"/>
          <w:lang w:val="uk-UA"/>
        </w:rPr>
        <w:t xml:space="preserve"> строки 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lang w:val="uk-UA"/>
        </w:rPr>
        <w:t xml:space="preserve">програми</w:t>
      </w:r>
      <w:r/>
    </w:p>
    <w:p>
      <w:pPr>
        <w:ind w:firstLine="700"/>
        <w:jc w:val="both"/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Шляхами розв’язання проблеми є: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рівня громадської активності та патріотичної свідомості  молоді, створення морально-етичних засад для її всебічного розвитку; </w:t>
      </w:r>
      <w:r/>
    </w:p>
    <w:p>
      <w:pPr>
        <w:numPr>
          <w:ilvl w:val="0"/>
          <w:numId w:val="2"/>
        </w:numPr>
        <w:jc w:val="both"/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підвищення культурного, освітнього, морального рівня молоді та організація культурного дозвілля;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залучення молоді до розроблення пропозицій щодо вдосконалення механізму реалізації державної молодіжної політики;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рівня правової культури молодих громадян, зокрема з  питань поваги до прав і свобод людини,  відповідальності за власне життя;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формування свідомого ставлення молоді до збереження здоров'я, боротьби із шкідливими звичками;</w:t>
      </w:r>
      <w:r/>
    </w:p>
    <w:p>
      <w:pPr>
        <w:pStyle w:val="22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чисельності молоді, що бере участь у діяльності дитячих і молодіжних громадських організацій.</w:t>
      </w:r>
      <w:bookmarkStart w:id="0" w:name="42"/>
      <w:r/>
      <w:bookmarkEnd w:id="0"/>
      <w:r/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/>
      <w:bookmarkStart w:id="1" w:name="n54"/>
      <w:r/>
      <w:bookmarkStart w:id="2" w:name="n56"/>
      <w:r/>
      <w:bookmarkStart w:id="3" w:name="n84"/>
      <w:r/>
      <w:bookmarkStart w:id="4" w:name="n86"/>
      <w:r/>
      <w:bookmarkStart w:id="5" w:name="n87"/>
      <w:r/>
      <w:bookmarkStart w:id="6" w:name="n88"/>
      <w:r/>
      <w:bookmarkStart w:id="7" w:name="n45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Реалізація Програми розрахована на </w:t>
      </w:r>
      <w:r>
        <w:rPr>
          <w:rFonts w:ascii="Times New Roman" w:hAnsi="Times New Roman"/>
          <w:sz w:val="28"/>
          <w:szCs w:val="28"/>
          <w:lang w:val="uk-UA"/>
        </w:rPr>
        <w:t xml:space="preserve">2020-2022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Основні завдання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Основними завданнями Програми є: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сприяння співпраці молоді з органами місцевого самоврядування, підтримка молодіжних ініціатив;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ормування здорового способу життя молоді, відповідального ставлення до свого здоров’я та здоров’я оточуючих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ідготовка молоді до сімейного життя та підтримка молодих сімей.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прияння виховання патріотизму, розвитку духовності, моральності дітей та молоді, організації змістовного дозвілля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ормування у молоді поваги до Закону та запобігання негативних явищ в молодіжному середовищі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озвиток громадської активності молоді, забезпечення постійн</w:t>
      </w:r>
      <w:r>
        <w:rPr>
          <w:rFonts w:ascii="Times New Roman" w:hAnsi="Times New Roman"/>
          <w:sz w:val="28"/>
          <w:szCs w:val="28"/>
          <w:lang w:val="uk-UA"/>
        </w:rPr>
        <w:t xml:space="preserve">ої співпраці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органів місцевого самоврядування  з молодіжними та громадськими організаціями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ормування інформаційного простору для реалізації державної молодіжної політики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212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абезпечення реалізації прав молоді з особливими потребами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щодо реалізації програми вкладені в додатку №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 до Програми.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Очікуванні результати виконання Програми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результаті виконання Програми очікується: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сприяння підвищення ефективності державної молодіжної політики 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Менській об’єднаній територіальній громаді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забезпечення необхідних умов для соціального ставлення та розвитку молоді;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підвищення зацікавленості молоді в здобутті освіти, створення умов для отримання молоддю якісної освіти;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поліпшення соціальної роботи з молоддю, зокрема з молодими сім’ями, молодими інвалідами, сиротами та дітьми, позбавленими батьківського піклування, з особами, що повернулися з місць позбавлення волі з залученням до роботи в молодіжних громадських організа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ціях;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створення умов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поліпшення здоров’я молоді,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посилення профілактичної роботи щодо запобігання наркоманії, захворювання на </w:t>
      </w:r>
      <w:r>
        <w:rPr>
          <w:rFonts w:ascii="Times New Roman" w:hAnsi="Times New Roman"/>
          <w:sz w:val="28"/>
          <w:szCs w:val="28"/>
          <w:lang w:val="uk-UA"/>
        </w:rPr>
        <w:t xml:space="preserve">ВІЛ/СНІД, охоплення молоді руховою активністю, пропаганди здорового способу життя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заняттями фізичною культурою та спортом, що позитивно впливає на зменшення захворюван</w:t>
      </w:r>
      <w:r>
        <w:rPr>
          <w:rFonts w:ascii="Times New Roman" w:hAnsi="Times New Roman"/>
          <w:sz w:val="28"/>
          <w:szCs w:val="28"/>
          <w:lang w:val="uk-UA"/>
        </w:rPr>
        <w:t xml:space="preserve">ості молоді,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формування навичок здорового способу життя;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залучення юнаків та дівчат до оволодіння культурними цінностями українського народу, сприяння розвиткові професійної та самодіяльної художньої творчості,  посилення роботи творчих спілок та об’єднань, клубів за інтересами, розвиток сучасної індустрії дозв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ілля молоді;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надзвичайно важливим є питання щодо формування духовних потреб молоді, зацікавленості в дослідженні загальнолюдських цінностей та історичної спадщини народу, залучення її до культурн</w:t>
      </w:r>
      <w:r>
        <w:rPr>
          <w:rFonts w:ascii="Times New Roman" w:hAnsi="Times New Roman"/>
          <w:sz w:val="28"/>
          <w:szCs w:val="28"/>
          <w:lang w:val="uk-UA"/>
        </w:rPr>
        <w:t xml:space="preserve">ого життя.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8" w:name="16"/>
      <w:r/>
      <w:bookmarkEnd w:id="8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оціальне становище молоді як однієї з найбільш уразливих категорій населення, що характеризується наявністю амбіцій, завищених очікувань, пошуком власного шляху і прагненням до самореалізації, є показником успішності суспільства, можливості реалізації його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потенціалу.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6. Фінансове забезпечення програми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22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842"/>
        <w:gridCol w:w="1774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Обсяг фінансування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(тис. грн.)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У тому числі за роками</w:t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2022</w:t>
            </w:r>
            <w:r/>
          </w:p>
        </w:tc>
      </w:tr>
      <w:tr>
        <w:trPr>
          <w:trHeight w:val="69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бюджети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1 425,0</w:t>
            </w:r>
            <w:r/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475,0</w:t>
            </w:r>
            <w:r/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550,0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заходів програми відбувається відповідно до кошторису заходу, який розробляється Сектором сім’ї, молоді та спорту та подається на погодження міському голові.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Управління та контроль за ходом виконання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Головним виконавцем Програми є Менська міська рада та Сектор сім’ї, молоді та спорту Менської міської ради. Контроль за її виконанням здійснює заступник міського голови з питань діяльності виконкому Менської міської ради, відповідно до розподілу функціональних обов’язків.</w:t>
      </w:r>
      <w:r/>
    </w:p>
    <w:p>
      <w:pPr>
        <w:spacing w:lineRule="auto" w:line="276" w:after="20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 w:type="page"/>
      </w:r>
      <w:r/>
    </w:p>
    <w:p>
      <w:pPr>
        <w:ind w:left="6946"/>
        <w:jc w:val="both"/>
        <w:rPr>
          <w:rFonts w:ascii="Times New Roman" w:hAnsi="Times New Roman"/>
          <w:lang w:val="uk-UA"/>
        </w:rPr>
        <w:sectPr>
          <w:footnotePr/>
          <w:type w:val="nextPage"/>
          <w:pgSz w:w="11906" w:h="16838"/>
          <w:pgMar w:top="850" w:right="850" w:bottom="850" w:left="1417" w:gutter="0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  <w:lang w:val="uk-UA"/>
        </w:rPr>
      </w:r>
      <w:r/>
    </w:p>
    <w:p>
      <w:pPr>
        <w:ind w:left="11057"/>
        <w:keepNext/>
        <w:tabs>
          <w:tab w:val="left" w:pos="9639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lang w:val="uk-UA" w:eastAsia="ru-RU"/>
        </w:rPr>
        <w:t xml:space="preserve">Додаток 1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 до </w:t>
      </w:r>
      <w:r>
        <w:rPr>
          <w:rFonts w:ascii="Times New Roman" w:hAnsi="Times New Roman" w:eastAsia="Times New Roman"/>
          <w:lang w:val="uk-UA" w:eastAsia="ru-RU"/>
        </w:rPr>
        <w:t xml:space="preserve">Програми «Молодь Менської громади» на 2020-2022 роки</w:t>
      </w:r>
      <w:r/>
    </w:p>
    <w:p>
      <w:pPr>
        <w:ind w:left="5387"/>
        <w:rPr>
          <w:rFonts w:ascii="Times New Roman" w:hAnsi="Times New Roman" w:eastAsia="Times New Roman"/>
          <w:szCs w:val="28"/>
          <w:lang w:val="uk-UA" w:eastAsia="ru-RU"/>
        </w:rPr>
      </w:pPr>
      <w:r>
        <w:rPr>
          <w:rFonts w:ascii="Times New Roman" w:hAnsi="Times New Roman" w:eastAsia="Times New Roman"/>
          <w:szCs w:val="28"/>
          <w:lang w:val="uk-UA" w:eastAsia="ru-RU"/>
        </w:rPr>
      </w:r>
      <w:r/>
    </w:p>
    <w:p>
      <w:pPr>
        <w:ind w:left="11907"/>
        <w:jc w:val="both"/>
        <w:rPr>
          <w:rFonts w:ascii="Times New Roman" w:hAnsi="Times New Roman"/>
          <w:sz w:val="22"/>
          <w:szCs w:val="28"/>
          <w:lang w:val="uk-UA"/>
        </w:rPr>
      </w:pPr>
      <w:r>
        <w:rPr>
          <w:rFonts w:ascii="Times New Roman" w:hAnsi="Times New Roman"/>
          <w:sz w:val="22"/>
          <w:szCs w:val="28"/>
          <w:lang w:val="uk-UA"/>
        </w:rPr>
      </w:r>
      <w:r/>
    </w:p>
    <w:tbl>
      <w:tblPr>
        <w:tblStyle w:val="223"/>
        <w:tblW w:w="0" w:type="auto"/>
        <w:tblLook w:val="04A0" w:firstRow="1" w:lastRow="0" w:firstColumn="1" w:lastColumn="0" w:noHBand="0" w:noVBand="1"/>
      </w:tblPr>
      <w:tblGrid>
        <w:gridCol w:w="881"/>
        <w:gridCol w:w="3340"/>
        <w:gridCol w:w="2126"/>
        <w:gridCol w:w="1701"/>
        <w:gridCol w:w="1350"/>
        <w:gridCol w:w="1620"/>
        <w:gridCol w:w="1515"/>
        <w:gridCol w:w="1455"/>
        <w:gridCol w:w="1247"/>
      </w:tblGrid>
      <w:tr>
        <w:trPr>
          <w:trHeight w:val="495"/>
        </w:trPr>
        <w:tc>
          <w:tcPr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з/п</w:t>
            </w:r>
            <w:r/>
          </w:p>
        </w:tc>
        <w:tc>
          <w:tcPr>
            <w:tcW w:w="3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Зміст заходу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Виконавці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Термін виконання</w:t>
            </w:r>
            <w:r/>
          </w:p>
        </w:tc>
        <w:tc>
          <w:tcPr>
            <w:tcW w:w="1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Джерела фінансування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Обсяги фінансування (тис. грн.)</w:t>
            </w:r>
            <w:r/>
          </w:p>
        </w:tc>
        <w:tc>
          <w:tcPr>
            <w:gridSpan w:val="3"/>
            <w:tcBorders>
              <w:left w:val="single" w:sz="4" w:space="0" w:color="auto"/>
              <w:bottom w:val="single" w:sz="4" w:space="0" w:color="auto"/>
            </w:tcBorders>
            <w:tcW w:w="42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У тому числі за роками</w:t>
            </w:r>
            <w:r/>
          </w:p>
        </w:tc>
      </w:tr>
      <w:tr>
        <w:trPr>
          <w:trHeight w:val="424"/>
        </w:trPr>
        <w:tc>
          <w:tcPr>
            <w:tcW w:w="88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3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13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2022</w:t>
            </w:r>
            <w:r/>
          </w:p>
        </w:tc>
      </w:tr>
      <w:tr>
        <w:trPr>
          <w:trHeight w:val="269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Підтримка та розвиток Менської молодіжної ради та інших дитячих та молодіжних об’єднань на території громади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Менська міська рада, Сектор сім’ї,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60,0</w:t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70,0</w:t>
            </w:r>
            <w:r/>
          </w:p>
        </w:tc>
      </w:tr>
      <w:tr>
        <w:trPr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eastAsia="Times New Roman"/>
                <w:lang w:val="uk-UA"/>
              </w:rPr>
              <w:t xml:space="preserve">Конкурс дитячих та молодіжних ініціатив (Положення про проведення конкурсу додаток 3 до програми)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Менська міська рада, Сектор сім’ї, молоді та спорту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відділ освіти та відділ культури </w:t>
            </w:r>
            <w:r>
              <w:rPr>
                <w:rFonts w:ascii="Times New Roman" w:hAnsi="Times New Roman"/>
                <w:lang w:val="uk-UA"/>
              </w:rPr>
              <w:t xml:space="preserve">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720,0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240,0</w:t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280,0</w:t>
            </w:r>
            <w:r/>
          </w:p>
        </w:tc>
      </w:tr>
      <w:tr>
        <w:trPr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eastAsia="Times New Roman"/>
                <w:lang w:val="uk-UA"/>
              </w:rPr>
              <w:t xml:space="preserve">Створення школи «Молодого посадовця»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Менська міська рада, Сектор сім’ї, молоді та спорту Менської міської ради, Відділ освіти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25,0</w:t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30,0</w:t>
            </w:r>
            <w:r/>
          </w:p>
        </w:tc>
      </w:tr>
      <w:tr>
        <w:trPr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проведення акцій, форумів, свят, семінарів, тренінгів, ярмарок, обговорень за круглим столом.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сім’ї, молоді та спорту Менської міської ради, Відділ культури Менської міської ради, Відділ освіти Менської міської ради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135,0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45,0</w:t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50,0</w:t>
            </w:r>
            <w:r/>
          </w:p>
        </w:tc>
      </w:tr>
      <w:tr>
        <w:trPr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Сприяти залученню активної молоді до вирішення питань розвитку громади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Менська міська рада, Сектор сім’ї, молоді та спорту </w:t>
            </w:r>
            <w:r>
              <w:rPr>
                <w:rFonts w:ascii="Times New Roman" w:hAnsi="Times New Roman"/>
                <w:lang w:val="uk-UA"/>
              </w:rPr>
              <w:t xml:space="preserve">Менської міської ради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проведення навчальних, обмінних візитів з молодіжними формуваннями України</w:t>
            </w:r>
            <w:r>
              <w:rPr>
                <w:rFonts w:ascii="Times New Roman" w:hAnsi="Times New Roman"/>
                <w:lang w:val="uk-UA"/>
              </w:rPr>
              <w:t xml:space="preserve"> та Європи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сім’ї, молоді та спорту Менської міської ради, Відділ освіти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60,0</w:t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70,</w:t>
            </w:r>
            <w:r>
              <w:rPr>
                <w:rFonts w:ascii="Times New Roman" w:hAnsi="Times New Roman"/>
                <w:lang w:val="uk-UA"/>
              </w:rPr>
              <w:t xml:space="preserve">0</w:t>
            </w:r>
            <w:r/>
          </w:p>
        </w:tc>
      </w:tr>
      <w:tr>
        <w:trPr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Виготовлення сувенірної та поліграфічної продукції, фото та відео матеріалів молодіжної ради.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сім’ї,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135,0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45,0</w:t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50,0</w:t>
            </w:r>
            <w:r/>
          </w:p>
        </w:tc>
      </w:tr>
      <w:tr>
        <w:trPr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Постійне висвітлення у засобах масової інформації, </w:t>
            </w:r>
            <w:r>
              <w:rPr>
                <w:rFonts w:ascii="Times New Roman" w:hAnsi="Times New Roman"/>
                <w:lang w:val="uk-UA"/>
              </w:rPr>
              <w:t xml:space="preserve">інтернет</w:t>
            </w:r>
            <w:r>
              <w:rPr>
                <w:rFonts w:ascii="Times New Roman" w:hAnsi="Times New Roman"/>
                <w:lang w:val="uk-UA"/>
              </w:rPr>
              <w:t xml:space="preserve"> ресурсах, соціальних мережах інформації  що стосується державної молодіжної політики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сім’ї, молоді та спорту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2020-2022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4"/>
            <w:tcW w:w="8048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1 425,0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400,0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475,0</w:t>
            </w:r>
            <w:r/>
          </w:p>
        </w:tc>
        <w:tc>
          <w:tcPr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550,0</w:t>
            </w:r>
            <w:r/>
          </w:p>
        </w:tc>
      </w:tr>
    </w:tbl>
    <w:p>
      <w:pPr>
        <w:ind w:left="694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spacing w:lineRule="auto" w:line="276" w:after="2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r/>
    </w:p>
    <w:p>
      <w:pPr>
        <w:ind w:left="6946"/>
        <w:jc w:val="both"/>
        <w:rPr>
          <w:rFonts w:ascii="Times New Roman" w:hAnsi="Times New Roman"/>
          <w:lang w:val="uk-UA"/>
        </w:rPr>
        <w:sectPr>
          <w:footnotePr/>
          <w:type w:val="nextPage"/>
          <w:pgSz w:w="16838" w:h="11906" w:orient="landscape"/>
          <w:pgMar w:top="851" w:right="851" w:bottom="1418" w:left="851" w:gutter="0" w:header="709" w:footer="709"/>
          <w:cols w:num="1" w:sep="0" w:space="708" w:equalWidth="1"/>
          <w:docGrid w:linePitch="360"/>
        </w:sectPr>
      </w:pPr>
      <w:r>
        <w:rPr>
          <w:rFonts w:ascii="Times New Roman" w:hAnsi="Times New Roman"/>
          <w:lang w:val="uk-UA"/>
        </w:rPr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lang w:val="uk-UA" w:eastAsia="ru-RU"/>
        </w:rPr>
        <w:t xml:space="preserve">Додаток 2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 до рішення виконкому 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Менської міської ради «</w:t>
      </w:r>
      <w:r>
        <w:rPr>
          <w:rFonts w:ascii="Times New Roman" w:hAnsi="Times New Roman" w:eastAsia="Times New Roman"/>
          <w:lang w:val="uk-UA" w:eastAsia="ru-RU"/>
        </w:rPr>
      </w:r>
      <w:r>
        <w:rPr>
          <w:rFonts w:ascii="Times New Roman" w:hAnsi="Times New Roman" w:eastAsia="Times New Roman"/>
          <w:lang w:val="uk-UA" w:eastAsia="ru-RU"/>
        </w:rPr>
      </w:r>
      <w:r>
        <w:rPr>
          <w:rFonts w:ascii="Times New Roman" w:hAnsi="Times New Roman" w:eastAsia="Times New Roman"/>
          <w:szCs w:val="28"/>
          <w:lang w:val="uk-UA" w:eastAsia="ru-RU"/>
        </w:rPr>
        <w:t xml:space="preserve">Про погодження програми «Молодь Менської громади» на 2020-2022 роки та </w:t>
      </w:r>
      <w:r>
        <w:rPr>
          <w:rFonts w:ascii="Times New Roman" w:hAnsi="Times New Roman" w:eastAsia="Times New Roman"/>
          <w:szCs w:val="28"/>
          <w:lang w:val="uk-UA" w:eastAsia="ru-RU"/>
        </w:rPr>
        <w:t xml:space="preserve">Положення про проведення Конкурсу молодіжних та дитячих ініціатив</w:t>
      </w:r>
      <w:r>
        <w:rPr>
          <w:rFonts w:ascii="Times New Roman" w:hAnsi="Times New Roman" w:eastAsia="Times New Roman"/>
          <w:szCs w:val="28"/>
          <w:lang w:val="uk-UA" w:eastAsia="ru-RU"/>
        </w:rPr>
      </w:r>
      <w:r>
        <w:rPr>
          <w:rFonts w:ascii="Times New Roman" w:hAnsi="Times New Roman" w:eastAsia="Times New Roman"/>
          <w:lang w:val="uk-UA" w:eastAsia="ru-RU"/>
        </w:rPr>
      </w:r>
    </w:p>
    <w:p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ПОЛОЖЕННЯ ПРО ПРОВЕДЕННЯ КОНКУРСУ ДИТЯЧИХ ТА МОЛОДІЖНИХ ІНІЦІАТИВ</w:t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ЗАГАЛЬНІ ПОЛОЖЕННЯ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1.1. Дане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Положення про проведення в 2020-22 роках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конкурсу проектів серед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дітей та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молоді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Менській міській об’єднаній територіальній громаді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(далі – Положення) встановлює порядок проведення конкурс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проектів та фінансування їх виконання відповідно до Програми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Молодь Менської громади» на 2020-2022 роки.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1.2. Мета конкурсу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дитячих та молодіжних ініціатив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серед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дітей та молоді Менської міської об’єднаної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(далі – Конкурс) – підтримка громадських ініціатив, розвиток молодіжного руху, реалізація інтелектуального потенціалу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талановитих дітей та молоді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виконання завдань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щодо розв’язання молодіжних проблем розвитку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створення сприятливих передумов для розвитку молодіжної політики та встановлення партнерських відносин між владою і молоддю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 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1.3. Основні завдання Конкурсу – стимулювання молодіжних ініціатив через надання фінансової підтримки для реалізації завдань Програми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Молодь Менської 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2020-2022 роки.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1.4. Пріоритетні напрями Конкурсу:</w:t>
      </w:r>
      <w:r/>
    </w:p>
    <w:p>
      <w:pPr>
        <w:pStyle w:val="21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Здоровий та безпечний спосіб життя;</w:t>
      </w:r>
      <w:r/>
    </w:p>
    <w:p>
      <w:pPr>
        <w:pStyle w:val="21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Співпраця молоді з виконавчим комітетом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підтримка молодіжних ініціатив;</w:t>
      </w:r>
      <w:r/>
    </w:p>
    <w:p>
      <w:pPr>
        <w:pStyle w:val="21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Громадянськість та патріотизм;</w:t>
      </w:r>
      <w:r/>
    </w:p>
    <w:p>
      <w:pPr>
        <w:pStyle w:val="21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Творчі ініціативи та сприяння розви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тку змістовного дозвілля молоді.</w:t>
      </w:r>
      <w:r/>
    </w:p>
    <w:p>
      <w:pPr>
        <w:pStyle w:val="21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УМОВИ КОНКУРСУ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2.1. До участі у конкур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сі запрошуються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групи шкільної молоді, молоді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молодіжні громадські організації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інші об’єднання людей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14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24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років.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2.2. Для проведення Конкурсу створюється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експертна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складі 7 осіб: з працівників структурних підрозділів Менської міської ради, Менської молодіжної ради (за умови якщо вони не є учасниками конкурсу) та представників громадськості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Головою наглядово-експертної комісії призначається заступник міського голови з питань діяльності виконкому.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своїй діяльності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експертна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комісія керується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законодавством з питань молодіжної політики, іншими нормативно-правовими документами та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даним Положенням.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2.3. Група конкурсантів має право подавати лише один проект, в якому реалізується один з запропонованих напрямків.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Конкурсанти подають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розгляд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експертної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комісії наступні документи: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 </w:t>
      </w:r>
      <w:hyperlink r:id="rId10" w:history="1">
        <w:r>
          <w:rPr>
            <w:rStyle w:val="226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 xml:space="preserve">заявку (додаток 1</w:t>
        </w:r>
        <w:r>
          <w:rPr>
            <w:rStyle w:val="226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 xml:space="preserve">)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.2. </w:t>
      </w:r>
      <w:hyperlink r:id="rId11" w:history="1">
        <w:r>
          <w:rPr>
            <w:rStyle w:val="226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 xml:space="preserve">аплікаційну форму з описо</w:t>
        </w:r>
        <w:r>
          <w:rPr>
            <w:rStyle w:val="226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 xml:space="preserve">м та бюджетом проекту (додаток 2</w:t>
        </w:r>
        <w:r>
          <w:rPr>
            <w:rStyle w:val="226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 xml:space="preserve">)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.3. копії документів, завірених печаткою (при наявності) та підписом: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реєстраційних документів (для громадських організацій);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паспорту керівника організації (для громадських організацій);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паспорту та ідентифікаційного коду особи (для фізичних осіб, віком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років).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Вартість одного проекту не повинна перевищувати 50 тис. грн.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2.6.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Проекти подаються в письмовому та електронному вигляді за формами встановленого зразка.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2.7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Реалізація проектів повинна бути спрямована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територію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ої міської об’єднаної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2.8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Реалізація про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ектів здійснюється протягом 2020, 2021, 2022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Проекти не допускаються до участі в Конкурсі та не фінансуються за наступних умов: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Виявлення недостовірної інформації;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.2. Відкликання конкурсантом проекту;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.3. Надходження документів щодо проекту після закінчення встановленого строку їх прийому;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.4. Надання конкурсної документації не в повному обсязі або якщо документація не відповідає вимогам даного Положення;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.5. Спрямування на політичну та/або виборчу діяльність;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.6. Одержання прибутку й прямої матеріальної допомоги;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.7. Одержання заробітної плати, винагороди й інших компенсаційних виплат учасникам.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.8. Погашення боргових зобов’язань і матеріального збитку;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.9. Витрачання на придбання ліцензій, патентів, і товарних знаків;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.10. Придбання або ремонтування техніки для ініціативних груп громадян.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Конкурсанти відповідають за достовірність інформації і документів, які вони надають, відповідно до чинного законодавства України.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На окрему вимогу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експертної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 конкурсанти можуть надавати додаткову інформацію щодо проектів. Для наочної презентації проекту допускається проведення демонстраційних показів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робіт (друкованих видань, аудіо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відеопродукції).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ПОВНОВАЖЕННЯ І РЕГЛАМЕНТ РОБОТИ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НАГЛЯДОВО-ЕКСПЕРТНОЇ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КОМІСІЇ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Наглядово-експертна комісія 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онтролює дотримання даного Положення й плану проведення Конкурсу.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Приймає всі необхідні документи, здійснює їх перевірку.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3.3. Приймає рішення про допуск проектів до Конкурсу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3.4. Здійснює контроль за прозорістю та відповідністю чинному законодавству процедури голосування.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3.5.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разі виявлення порушень даного Положення та/або чинного законодавства має право знімати проект з участі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Засідання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 є правочинним, якщо в них беруть участь більше половини членів від затвердженого персонального складу.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3.7.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результатами розгляду питань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комісією приймаються рішення,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 фіксуються у протоколі та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підписуються головою комісії, а у випадку його відсутності – його заступником.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3.8.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комісії приймається більшістю голосів від кількості членів комісії, які брали участь у засіданні. У випадку рівної кількості голосів вирішальним є голос голови комісії.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ГРАФІК ПРОВЕДЕННЯ КОНКУРСУ ТА ВИЗНАЧЕННЯ ПЕРЕМОЖЦІВ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Заявки і конкурсна документація подаються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комісії.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.2. Прийом заявок і документації відбувається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окремим графіком, затвердженим у порядку, що не суперечить чинному законодавству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Прийом заявок відбувається за встановленою формою.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Протягом 15 днів з дня закінчення прийому конкурсної документації проектів відбувається розгляд заявок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наглядово-експертною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комісією: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4.5. Конкурс проводиться у формі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онлайн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-голосування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використанням сервісів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Google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4.6. Приймати участь в голосування можуть всі жителі Менської міської об’єднаної територіальної громади.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4.7. Термін проведення голосування – 30 календарних днів.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4.8. Наглядово-експертна комісія здійснює підрахунок голосів. В разі порушення умов даного Положення чи недостовірності наданих даних голоси не зараховуються.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4.9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Повідомлення про переможців висвітлюється в місцевих засобах масової інформації та на офіційному сайті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4.10.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результатами реалізації проектів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комісія інформує про результати реалізованих проектів на найближчому засіданні сесії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ради.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ФІНАНСУВАННЯ РЕАЛІЗАЦІЇ ПРОЕКТІВ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Фінансування реалізації проектів, визнаних переможцями, здійснюється за рахунок коштів місько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 бюджету, передбачених на 2020, 2021, 2022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рамках Програми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Молодь Менської громади» на 2020-2022 роки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Реалізація проектів здійснюється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вимог чинного законодавства.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Витрати, понесені конкурсантами до одержання коштів з міського бюджету і після завершення строку реалізації проекту, оплаті не підлягають.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Моніторинг реалізації проектів здійснює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наглядово-експертна комісія.</w:t>
      </w:r>
      <w:r/>
    </w:p>
    <w:p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spacing w:lineRule="auto" w:line="276" w:after="2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lang w:val="uk-UA" w:eastAsia="ru-RU"/>
        </w:rPr>
        <w:t xml:space="preserve">Додаток 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1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до Положення про проведення конкурсу дитячих та молодіжних ініціатив </w:t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 w:eastAsia="Times New Roman"/>
          <w:lang w:val="uk-UA" w:eastAsia="ru-RU"/>
        </w:rPr>
      </w:r>
      <w:r/>
    </w:p>
    <w:p>
      <w:pPr>
        <w:rPr>
          <w:rFonts w:ascii="Times New Roman" w:hAnsi="Times New Roman" w:eastAsia="Calibri"/>
          <w:b/>
          <w:u w:val="single"/>
          <w:lang w:val="uk-UA"/>
        </w:rPr>
      </w:pPr>
      <w:r>
        <w:rPr>
          <w:rFonts w:ascii="Times New Roman" w:hAnsi="Times New Roman" w:eastAsia="Calibri"/>
          <w:b/>
          <w:u w:val="single"/>
          <w:lang w:val="uk-UA"/>
        </w:rPr>
      </w:r>
      <w:r/>
    </w:p>
    <w:p>
      <w:pPr>
        <w:jc w:val="center"/>
        <w:rPr>
          <w:rFonts w:ascii="Times New Roman" w:hAnsi="Times New Roman" w:eastAsia="Calibri"/>
          <w:b/>
          <w:sz w:val="28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b/>
          <w:sz w:val="28"/>
          <w:u w:val="single"/>
        </w:rPr>
        <w:t xml:space="preserve">ЗАЯВКА</w:t>
      </w:r>
      <w:r>
        <w:rPr>
          <w:sz w:val="28"/>
        </w:rPr>
      </w:r>
    </w:p>
    <w:p>
      <w:pPr>
        <w:jc w:val="center"/>
        <w:rPr>
          <w:rFonts w:ascii="Times New Roman" w:hAnsi="Times New Roman" w:eastAsia="Calibri"/>
          <w:sz w:val="28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sz w:val="28"/>
          <w:u w:val="single"/>
        </w:rPr>
      </w:r>
      <w:r>
        <w:rPr>
          <w:sz w:val="28"/>
        </w:rPr>
      </w:r>
    </w:p>
    <w:tbl>
      <w:tblPr>
        <w:tblW w:w="9220" w:type="dxa"/>
        <w:tblInd w:w="-3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"/>
        <w:gridCol w:w="4677"/>
      </w:tblGrid>
      <w:tr>
        <w:trPr>
          <w:trHeight w:val="7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43" w:type="dxa"/>
            <w:textDirection w:val="lrTb"/>
            <w:noWrap w:val="false"/>
          </w:tcPr>
          <w:p>
            <w:pPr>
              <w:jc w:val="both"/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</w:rPr>
              <w:t xml:space="preserve">Номер</w:t>
            </w:r>
            <w:r>
              <w:rPr>
                <w:rFonts w:ascii="Times New Roman" w:hAnsi="Times New Roman" w:eastAsia="Calibri"/>
                <w:sz w:val="28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</w:rPr>
              <w:t xml:space="preserve">проекту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both"/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</w:rPr>
              <w:t xml:space="preserve">Дата</w:t>
            </w:r>
            <w:r>
              <w:rPr>
                <w:rFonts w:ascii="Times New Roman" w:hAnsi="Times New Roman" w:eastAsia="Calibri"/>
                <w:sz w:val="28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</w:rPr>
              <w:t xml:space="preserve">реєстрації</w:t>
            </w:r>
            <w:r>
              <w:rPr>
                <w:sz w:val="28"/>
              </w:rPr>
            </w:r>
          </w:p>
        </w:tc>
      </w:tr>
      <w:tr>
        <w:trPr>
          <w:trHeight w:val="46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0" w:type="dxa"/>
            <w:textDirection w:val="lrTb"/>
            <w:noWrap w:val="false"/>
          </w:tcPr>
          <w:p>
            <w:pPr>
              <w:jc w:val="center"/>
              <w:spacing w:lineRule="auto" w:line="260" w:before="40"/>
              <w:rPr>
                <w:rFonts w:ascii="Times New Roman" w:hAnsi="Times New Roman" w:eastAsia="Calibri"/>
                <w:b/>
                <w:sz w:val="28"/>
                <w:szCs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Конкурс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дитячих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та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молодіжних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8"/>
                <w:szCs w:val="32"/>
              </w:rPr>
              <w:t xml:space="preserve">ініціатив</w:t>
            </w:r>
            <w:r>
              <w:rPr>
                <w:sz w:val="28"/>
              </w:rPr>
            </w:r>
            <w:r>
              <w:rPr>
                <w:rFonts w:ascii="Times New Roman" w:hAnsi="Times New Roman" w:eastAsia="Calibri"/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6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Назва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проекту (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не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б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ільше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одного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речення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)</w:t>
            </w:r>
            <w:r>
              <w:rPr>
                <w:sz w:val="28"/>
              </w:rPr>
            </w:r>
            <w:r>
              <w:rPr>
                <w:rFonts w:ascii="Times New Roman" w:hAnsi="Times New Roman" w:eastAsia="Calibri"/>
                <w:sz w:val="28"/>
                <w:lang w:val="ru-RU"/>
              </w:rPr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jc w:val="both"/>
              <w:spacing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</w:r>
            <w:r>
              <w:rPr>
                <w:sz w:val="28"/>
              </w:rPr>
            </w:r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Очікуване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фінансування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з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міського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бюджету (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грн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.)</w:t>
            </w:r>
            <w:r>
              <w:rPr>
                <w:sz w:val="28"/>
              </w:rPr>
            </w:r>
            <w:r>
              <w:rPr>
                <w:rFonts w:ascii="Times New Roman" w:hAnsi="Times New Roman" w:eastAsia="Calibri"/>
                <w:sz w:val="28"/>
                <w:lang w:val="ru-RU"/>
              </w:rPr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jc w:val="both"/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</w:r>
            <w:r>
              <w:rPr>
                <w:sz w:val="28"/>
              </w:rPr>
            </w:r>
          </w:p>
        </w:tc>
      </w:tr>
      <w:tr>
        <w:trPr>
          <w:trHeight w:val="7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Назва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організації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що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подає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проект, та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її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юридичний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статус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або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П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ІБ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фізичної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особи</w:t>
            </w:r>
            <w:r>
              <w:rPr>
                <w:sz w:val="28"/>
              </w:rPr>
            </w:r>
            <w:r>
              <w:rPr>
                <w:rFonts w:ascii="Times New Roman" w:hAnsi="Times New Roman" w:eastAsia="Calibri"/>
                <w:sz w:val="28"/>
                <w:lang w:val="ru-RU"/>
              </w:rPr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jc w:val="both"/>
              <w:spacing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</w:r>
            <w:r>
              <w:rPr>
                <w:sz w:val="28"/>
              </w:rPr>
            </w:r>
          </w:p>
        </w:tc>
      </w:tr>
      <w:tr>
        <w:trPr>
          <w:trHeight w:val="11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Адреса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організації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або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фізичної</w:t>
            </w:r>
            <w:r>
              <w:rPr>
                <w:rFonts w:ascii="Times New Roman" w:hAnsi="Times New Roman" w:eastAsia="Calibri"/>
                <w:sz w:val="28"/>
                <w:lang w:val="ru-RU"/>
              </w:rPr>
              <w:t xml:space="preserve"> особи</w:t>
            </w:r>
            <w:r>
              <w:rPr>
                <w:sz w:val="28"/>
              </w:rPr>
            </w:r>
          </w:p>
          <w:p>
            <w:pPr>
              <w:spacing w:lineRule="auto" w:line="260"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i/>
                <w:sz w:val="28"/>
                <w:lang w:val="ru-RU"/>
              </w:rPr>
              <w:t xml:space="preserve">Телефон, </w:t>
            </w:r>
            <w:r>
              <w:rPr>
                <w:rFonts w:ascii="Times New Roman" w:hAnsi="Times New Roman" w:eastAsia="Calibri"/>
                <w:i/>
                <w:sz w:val="28"/>
                <w:lang w:val="ru-RU"/>
              </w:rPr>
              <w:t xml:space="preserve">Е</w:t>
            </w:r>
            <w:r>
              <w:rPr>
                <w:rFonts w:ascii="Times New Roman" w:hAnsi="Times New Roman" w:eastAsia="Calibri"/>
                <w:i/>
                <w:sz w:val="28"/>
                <w:lang w:val="ru-RU"/>
              </w:rPr>
              <w:t xml:space="preserve">-</w:t>
            </w:r>
            <w:r>
              <w:rPr>
                <w:rFonts w:ascii="Times New Roman" w:hAnsi="Times New Roman" w:eastAsia="Calibri"/>
                <w:i/>
                <w:sz w:val="28"/>
              </w:rPr>
              <w:t xml:space="preserve">mail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jc w:val="both"/>
              <w:spacing w:before="40"/>
              <w:rPr>
                <w:rFonts w:ascii="Times New Roman" w:hAnsi="Times New Roman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/>
                <w:sz w:val="28"/>
                <w:lang w:val="ru-RU"/>
              </w:rPr>
            </w:r>
            <w:r>
              <w:rPr>
                <w:sz w:val="28"/>
              </w:rPr>
            </w:r>
          </w:p>
        </w:tc>
      </w:tr>
    </w:tbl>
    <w:p>
      <w:pPr>
        <w:ind w:left="40"/>
        <w:jc w:val="both"/>
        <w:spacing w:before="240"/>
        <w:rPr>
          <w:rFonts w:ascii="Times New Roman" w:hAnsi="Times New Roman" w:eastAsia="Calibri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sz w:val="28"/>
          <w:lang w:val="ru-RU"/>
        </w:rPr>
        <w:t xml:space="preserve">П</w:t>
      </w:r>
      <w:r>
        <w:rPr>
          <w:rFonts w:ascii="Times New Roman" w:hAnsi="Times New Roman" w:eastAsia="Calibri"/>
          <w:sz w:val="28"/>
          <w:lang w:val="ru-RU"/>
        </w:rPr>
        <w:t xml:space="preserve">ідписи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засвідчують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зобов'язання</w:t>
      </w:r>
      <w:r>
        <w:rPr>
          <w:rFonts w:ascii="Times New Roman" w:hAnsi="Times New Roman" w:eastAsia="Calibri"/>
          <w:sz w:val="28"/>
          <w:lang w:val="ru-RU"/>
        </w:rPr>
        <w:t xml:space="preserve">:</w:t>
      </w:r>
      <w:r>
        <w:rPr>
          <w:sz w:val="28"/>
        </w:rPr>
      </w:r>
    </w:p>
    <w:p>
      <w:pPr>
        <w:ind w:left="80"/>
        <w:jc w:val="both"/>
        <w:rPr>
          <w:rFonts w:ascii="Times New Roman" w:hAnsi="Times New Roman" w:eastAsia="Calibri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sz w:val="28"/>
          <w:lang w:val="ru-RU"/>
        </w:rPr>
        <w:t xml:space="preserve">• </w:t>
      </w:r>
      <w:r>
        <w:rPr>
          <w:rFonts w:ascii="Times New Roman" w:hAnsi="Times New Roman" w:eastAsia="Calibri"/>
          <w:sz w:val="28"/>
          <w:lang w:val="ru-RU"/>
        </w:rPr>
        <w:t xml:space="preserve">подавати</w:t>
      </w:r>
      <w:r>
        <w:rPr>
          <w:rFonts w:ascii="Times New Roman" w:hAnsi="Times New Roman" w:eastAsia="Calibri"/>
          <w:sz w:val="28"/>
          <w:lang w:val="ru-RU"/>
        </w:rPr>
        <w:t xml:space="preserve"> в </w:t>
      </w:r>
      <w:r>
        <w:rPr>
          <w:rFonts w:ascii="Times New Roman" w:hAnsi="Times New Roman" w:eastAsia="Calibri"/>
          <w:sz w:val="28"/>
          <w:lang w:val="ru-RU"/>
        </w:rPr>
        <w:t xml:space="preserve">проекті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правдиву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інформацію</w:t>
      </w:r>
      <w:r>
        <w:rPr>
          <w:rFonts w:ascii="Times New Roman" w:hAnsi="Times New Roman" w:eastAsia="Calibri"/>
          <w:sz w:val="28"/>
          <w:lang w:val="ru-RU"/>
        </w:rPr>
        <w:t xml:space="preserve">;</w:t>
      </w:r>
      <w:r>
        <w:rPr>
          <w:sz w:val="28"/>
        </w:rPr>
      </w:r>
    </w:p>
    <w:p>
      <w:pPr>
        <w:ind w:left="80"/>
        <w:jc w:val="both"/>
        <w:rPr>
          <w:rFonts w:ascii="Times New Roman" w:hAnsi="Times New Roman" w:eastAsia="Calibri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sz w:val="28"/>
          <w:lang w:val="ru-RU"/>
        </w:rPr>
        <w:t xml:space="preserve">• </w:t>
      </w:r>
      <w:r>
        <w:rPr>
          <w:rFonts w:ascii="Times New Roman" w:hAnsi="Times New Roman" w:eastAsia="Calibri"/>
          <w:sz w:val="28"/>
          <w:lang w:val="ru-RU"/>
        </w:rPr>
        <w:t xml:space="preserve">з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дотриманням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вимог</w:t>
      </w:r>
      <w:r>
        <w:rPr>
          <w:rFonts w:ascii="Times New Roman" w:hAnsi="Times New Roman" w:eastAsia="Calibri"/>
          <w:sz w:val="28"/>
          <w:lang w:val="ru-RU"/>
        </w:rPr>
        <w:t xml:space="preserve"> чинного </w:t>
      </w:r>
      <w:r>
        <w:rPr>
          <w:rFonts w:ascii="Times New Roman" w:hAnsi="Times New Roman" w:eastAsia="Calibri"/>
          <w:sz w:val="28"/>
          <w:lang w:val="ru-RU"/>
        </w:rPr>
        <w:t xml:space="preserve">законодавства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України</w:t>
      </w:r>
      <w:r>
        <w:rPr>
          <w:rFonts w:ascii="Times New Roman" w:hAnsi="Times New Roman" w:eastAsia="Calibri"/>
          <w:sz w:val="28"/>
          <w:lang w:val="ru-RU"/>
        </w:rPr>
        <w:t xml:space="preserve">;</w:t>
      </w:r>
      <w:r>
        <w:rPr>
          <w:sz w:val="28"/>
        </w:rPr>
      </w:r>
    </w:p>
    <w:p>
      <w:pPr>
        <w:ind w:left="80"/>
        <w:jc w:val="both"/>
        <w:rPr>
          <w:rFonts w:ascii="Times New Roman" w:hAnsi="Times New Roman" w:eastAsia="Calibri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sz w:val="28"/>
          <w:lang w:val="ru-RU"/>
        </w:rPr>
        <w:t xml:space="preserve">• за </w:t>
      </w:r>
      <w:r>
        <w:rPr>
          <w:rFonts w:ascii="Times New Roman" w:hAnsi="Times New Roman" w:eastAsia="Calibri"/>
          <w:sz w:val="28"/>
          <w:lang w:val="ru-RU"/>
        </w:rPr>
        <w:t xml:space="preserve">будь-якого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використання</w:t>
      </w:r>
      <w:r>
        <w:rPr>
          <w:rFonts w:ascii="Times New Roman" w:hAnsi="Times New Roman" w:eastAsia="Calibri"/>
          <w:sz w:val="28"/>
          <w:lang w:val="ru-RU"/>
        </w:rPr>
        <w:t xml:space="preserve">, </w:t>
      </w:r>
      <w:r>
        <w:rPr>
          <w:rFonts w:ascii="Times New Roman" w:hAnsi="Times New Roman" w:eastAsia="Calibri"/>
          <w:sz w:val="28"/>
          <w:lang w:val="ru-RU"/>
        </w:rPr>
        <w:t xml:space="preserve">застосування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чи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поширення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інтелектуальних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або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інших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цінностей</w:t>
      </w:r>
      <w:r>
        <w:rPr>
          <w:rFonts w:ascii="Times New Roman" w:hAnsi="Times New Roman" w:eastAsia="Calibri"/>
          <w:sz w:val="28"/>
          <w:lang w:val="ru-RU"/>
        </w:rPr>
        <w:t xml:space="preserve">, </w:t>
      </w:r>
      <w:r>
        <w:rPr>
          <w:rFonts w:ascii="Times New Roman" w:hAnsi="Times New Roman" w:eastAsia="Calibri"/>
          <w:sz w:val="28"/>
          <w:lang w:val="ru-RU"/>
        </w:rPr>
        <w:t xml:space="preserve">створених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завдяки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реалізації</w:t>
      </w:r>
      <w:r>
        <w:rPr>
          <w:rFonts w:ascii="Times New Roman" w:hAnsi="Times New Roman" w:eastAsia="Calibri"/>
          <w:sz w:val="28"/>
          <w:lang w:val="ru-RU"/>
        </w:rPr>
        <w:t xml:space="preserve"> проекту, </w:t>
      </w:r>
      <w:r>
        <w:rPr>
          <w:rFonts w:ascii="Times New Roman" w:hAnsi="Times New Roman" w:eastAsia="Calibri"/>
          <w:sz w:val="28"/>
          <w:lang w:val="ru-RU"/>
        </w:rPr>
        <w:t xml:space="preserve">посилатися</w:t>
      </w:r>
      <w:r>
        <w:rPr>
          <w:rFonts w:ascii="Times New Roman" w:hAnsi="Times New Roman" w:eastAsia="Calibri"/>
          <w:sz w:val="28"/>
          <w:lang w:val="ru-RU"/>
        </w:rPr>
        <w:t xml:space="preserve"> на </w:t>
      </w:r>
      <w:r>
        <w:rPr>
          <w:rFonts w:ascii="Times New Roman" w:hAnsi="Times New Roman" w:eastAsia="Calibri"/>
          <w:sz w:val="28"/>
          <w:lang w:val="ru-RU"/>
        </w:rPr>
        <w:t xml:space="preserve">фінансову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п</w:t>
      </w:r>
      <w:r>
        <w:rPr>
          <w:rFonts w:ascii="Times New Roman" w:hAnsi="Times New Roman" w:eastAsia="Calibri"/>
          <w:sz w:val="28"/>
          <w:lang w:val="ru-RU"/>
        </w:rPr>
        <w:t xml:space="preserve">ідтримку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Менської</w:t>
      </w:r>
      <w:r>
        <w:rPr>
          <w:rFonts w:ascii="Times New Roman" w:hAnsi="Times New Roman" w:eastAsia="Calibri"/>
          <w:sz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lang w:val="ru-RU"/>
        </w:rPr>
        <w:t xml:space="preserve">міської</w:t>
      </w:r>
      <w:r>
        <w:rPr>
          <w:rFonts w:ascii="Times New Roman" w:hAnsi="Times New Roman" w:eastAsia="Calibri"/>
          <w:sz w:val="28"/>
          <w:lang w:val="ru-RU"/>
        </w:rPr>
        <w:t xml:space="preserve"> ради.</w:t>
      </w:r>
      <w:r>
        <w:rPr>
          <w:sz w:val="28"/>
        </w:rPr>
      </w:r>
    </w:p>
    <w:p>
      <w:pPr>
        <w:ind w:left="80"/>
        <w:jc w:val="both"/>
        <w:rPr>
          <w:rFonts w:ascii="Times New Roman" w:hAnsi="Times New Roman" w:eastAsia="Calibri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lang w:val="ru-RU"/>
        </w:rPr>
      </w:r>
      <w:r/>
    </w:p>
    <w:p>
      <w:pPr>
        <w:ind w:left="40"/>
        <w:jc w:val="both"/>
        <w:rPr>
          <w:rFonts w:ascii="Times New Roman" w:hAnsi="Times New Roman" w:eastAsia="Calibri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lang w:val="ru-RU"/>
        </w:rPr>
      </w:r>
      <w:r/>
    </w:p>
    <w:p>
      <w:pPr>
        <w:ind w:left="40"/>
        <w:jc w:val="both"/>
        <w:rPr>
          <w:rFonts w:ascii="Times New Roman" w:hAnsi="Times New Roman" w:eastAsia="Calibri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lang w:val="ru-RU"/>
        </w:rPr>
        <w:tab/>
      </w:r>
      <w:r>
        <w:rPr>
          <w:rFonts w:ascii="Times New Roman" w:hAnsi="Times New Roman" w:eastAsia="Calibri"/>
          <w:lang w:val="ru-RU"/>
        </w:rPr>
        <w:t xml:space="preserve">___________________   __________________     "___" _____________ 20__ р.</w:t>
      </w:r>
      <w:r/>
    </w:p>
    <w:p>
      <w:pPr>
        <w:ind w:left="40"/>
        <w:jc w:val="both"/>
        <w:rPr>
          <w:rFonts w:ascii="Times New Roman" w:hAnsi="Times New Roman" w:eastAsia="Calibri"/>
          <w:sz w:val="20"/>
          <w:szCs w:val="20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  <w:lang w:val="ru-RU"/>
        </w:rPr>
        <w:tab/>
      </w:r>
      <w:r>
        <w:rPr>
          <w:rFonts w:ascii="Times New Roman" w:hAnsi="Times New Roman" w:eastAsia="Calibri"/>
          <w:lang w:val="ru-RU"/>
        </w:rPr>
        <w:tab/>
        <w:t xml:space="preserve">  </w:t>
      </w:r>
      <w:r>
        <w:rPr>
          <w:rFonts w:ascii="Times New Roman" w:hAnsi="Times New Roman" w:eastAsia="Calibri"/>
          <w:sz w:val="20"/>
          <w:szCs w:val="20"/>
          <w:lang w:val="ru-RU"/>
        </w:rPr>
        <w:t xml:space="preserve">(</w:t>
      </w:r>
      <w:r>
        <w:rPr>
          <w:rFonts w:ascii="Times New Roman" w:hAnsi="Times New Roman" w:eastAsia="Calibri"/>
          <w:sz w:val="20"/>
          <w:szCs w:val="20"/>
          <w:lang w:val="ru-RU"/>
        </w:rPr>
        <w:t xml:space="preserve">П</w:t>
      </w:r>
      <w:r>
        <w:rPr>
          <w:rFonts w:ascii="Times New Roman" w:hAnsi="Times New Roman" w:eastAsia="Calibri"/>
          <w:sz w:val="20"/>
          <w:szCs w:val="20"/>
          <w:lang w:val="ru-RU"/>
        </w:rPr>
        <w:t xml:space="preserve">ІБ)</w:t>
      </w:r>
      <w:r>
        <w:rPr>
          <w:rFonts w:ascii="Times New Roman" w:hAnsi="Times New Roman" w:eastAsia="Calibri"/>
          <w:sz w:val="20"/>
          <w:szCs w:val="20"/>
          <w:lang w:val="ru-RU"/>
        </w:rPr>
        <w:tab/>
      </w:r>
      <w:r>
        <w:rPr>
          <w:rFonts w:ascii="Times New Roman" w:hAnsi="Times New Roman" w:eastAsia="Calibri"/>
          <w:sz w:val="20"/>
          <w:szCs w:val="20"/>
          <w:lang w:val="ru-RU"/>
        </w:rPr>
        <w:tab/>
        <w:t xml:space="preserve">                  (</w:t>
      </w:r>
      <w:r>
        <w:rPr>
          <w:rFonts w:ascii="Times New Roman" w:hAnsi="Times New Roman" w:eastAsia="Calibri"/>
          <w:sz w:val="20"/>
          <w:szCs w:val="20"/>
          <w:lang w:val="ru-RU"/>
        </w:rPr>
        <w:t xml:space="preserve">підпис</w:t>
      </w:r>
      <w:r>
        <w:rPr>
          <w:rFonts w:ascii="Times New Roman" w:hAnsi="Times New Roman" w:eastAsia="Calibri"/>
          <w:sz w:val="20"/>
          <w:szCs w:val="20"/>
          <w:lang w:val="ru-RU"/>
        </w:rPr>
        <w:t xml:space="preserve">)</w:t>
      </w:r>
      <w:r>
        <w:rPr>
          <w:rFonts w:ascii="Times New Roman" w:hAnsi="Times New Roman" w:eastAsia="Calibri"/>
          <w:sz w:val="20"/>
          <w:szCs w:val="20"/>
          <w:lang w:val="ru-RU"/>
        </w:rPr>
        <w:tab/>
      </w:r>
      <w:r>
        <w:rPr>
          <w:rFonts w:ascii="Times New Roman" w:hAnsi="Times New Roman" w:eastAsia="Calibri"/>
          <w:sz w:val="20"/>
          <w:szCs w:val="20"/>
          <w:lang w:val="ru-RU"/>
        </w:rPr>
        <w:tab/>
        <w:t xml:space="preserve">                     (дата)</w:t>
      </w:r>
      <w:r>
        <w:rPr>
          <w:rFonts w:ascii="Times New Roman" w:hAnsi="Times New Roman"/>
          <w:lang w:val="ru-RU"/>
        </w:rPr>
        <w:t xml:space="preserve"> </w:t>
      </w:r>
      <w:r/>
    </w:p>
    <w:p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spacing w:lineRule="auto" w:line="276" w:after="2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lang w:val="uk-UA" w:eastAsia="ru-RU"/>
        </w:rPr>
        <w:t xml:space="preserve">Додаток 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2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lang w:val="uk-UA" w:eastAsia="ru-RU"/>
        </w:rPr>
        <w:t xml:space="preserve">до Положення про проведення конкурсу дитячих та молодіжних ініціатив </w:t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 w:eastAsia="Times New Roman"/>
          <w:lang w:val="uk-UA" w:eastAsia="ru-RU"/>
        </w:rPr>
      </w:r>
      <w:r/>
    </w:p>
    <w:p>
      <w:pPr>
        <w:jc w:val="center"/>
        <w:rPr>
          <w:rFonts w:ascii="Times New Roman" w:hAnsi="Times New Roman"/>
          <w:sz w:val="20"/>
          <w:szCs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0"/>
          <w:szCs w:val="20"/>
          <w:lang w:val="uk-UA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АПЛІКАЦІЙНА ФОРМА</w:t>
      </w:r>
      <w:r>
        <w:rPr>
          <w:sz w:val="28"/>
        </w:rPr>
      </w:r>
    </w:p>
    <w:p>
      <w:pPr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sz w:val="28"/>
        </w:rPr>
      </w:r>
    </w:p>
    <w:p>
      <w:pPr>
        <w:jc w:val="both"/>
        <w:rPr>
          <w:rFonts w:ascii="Times New Roman" w:hAnsi="Times New Roman" w:eastAsia="Calibri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Назва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проекту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sz w:val="28"/>
        </w:rPr>
      </w:r>
    </w:p>
    <w:p>
      <w:pPr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Назва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організації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або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П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ІБ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групи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осіб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що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реалізують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проект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i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Актуальність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проекту, проблема, на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розв'язання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якої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спрямовано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проект: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(Коротко </w:t>
      </w:r>
      <w:r>
        <w:rPr>
          <w:rFonts w:ascii="Times New Roman" w:hAnsi="Times New Roman"/>
          <w:color w:val="000000"/>
          <w:sz w:val="28"/>
          <w:lang w:val="ru-RU"/>
        </w:rPr>
        <w:t xml:space="preserve">обґрунтуйте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чому</w:t>
      </w:r>
      <w:r>
        <w:rPr>
          <w:rFonts w:ascii="Times New Roman" w:hAnsi="Times New Roman"/>
          <w:color w:val="000000"/>
          <w:sz w:val="28"/>
          <w:lang w:val="ru-RU"/>
        </w:rPr>
        <w:t xml:space="preserve"> ваш проект </w:t>
      </w:r>
      <w:r>
        <w:rPr>
          <w:rFonts w:ascii="Times New Roman" w:hAnsi="Times New Roman"/>
          <w:color w:val="000000"/>
          <w:sz w:val="28"/>
          <w:lang w:val="ru-RU"/>
        </w:rPr>
        <w:t xml:space="preserve">є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актуальним</w:t>
      </w:r>
      <w:r>
        <w:rPr>
          <w:rFonts w:ascii="Times New Roman" w:hAnsi="Times New Roman"/>
          <w:color w:val="000000"/>
          <w:sz w:val="28"/>
          <w:lang w:val="ru-RU"/>
        </w:rPr>
        <w:t xml:space="preserve">, в </w:t>
      </w:r>
      <w:r>
        <w:rPr>
          <w:rFonts w:ascii="Times New Roman" w:hAnsi="Times New Roman"/>
          <w:color w:val="000000"/>
          <w:sz w:val="28"/>
          <w:lang w:val="ru-RU"/>
        </w:rPr>
        <w:t xml:space="preserve">чому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полягає</w:t>
      </w:r>
      <w:r>
        <w:rPr>
          <w:rFonts w:ascii="Times New Roman" w:hAnsi="Times New Roman"/>
          <w:color w:val="000000"/>
          <w:sz w:val="28"/>
          <w:lang w:val="ru-RU"/>
        </w:rPr>
        <w:t xml:space="preserve"> суть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проблеми</w:t>
      </w:r>
      <w:r>
        <w:rPr>
          <w:rFonts w:ascii="Times New Roman" w:hAnsi="Times New Roman"/>
          <w:color w:val="000000"/>
          <w:sz w:val="28"/>
          <w:lang w:val="ru-RU"/>
        </w:rPr>
        <w:t xml:space="preserve">, яку ваш проект </w:t>
      </w:r>
      <w:r>
        <w:rPr>
          <w:rFonts w:ascii="Times New Roman" w:hAnsi="Times New Roman"/>
          <w:color w:val="000000"/>
          <w:sz w:val="28"/>
          <w:lang w:val="ru-RU"/>
        </w:rPr>
        <w:t xml:space="preserve">має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розв’язати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чи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мінімізувати</w:t>
      </w:r>
      <w:r>
        <w:rPr>
          <w:rFonts w:ascii="Times New Roman" w:hAnsi="Times New Roman"/>
          <w:color w:val="000000"/>
          <w:sz w:val="28"/>
          <w:lang w:val="ru-RU"/>
        </w:rPr>
        <w:t xml:space="preserve">.) 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i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Очікувані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результати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проекту,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їхній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вплив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на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суспільне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життя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.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Опишіть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що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має</w:t>
      </w:r>
      <w:r>
        <w:rPr>
          <w:rFonts w:ascii="Times New Roman" w:hAnsi="Times New Roman"/>
          <w:color w:val="000000"/>
          <w:sz w:val="28"/>
          <w:lang w:val="ru-RU"/>
        </w:rPr>
        <w:t xml:space="preserve"> бути результатом проекту, </w:t>
      </w:r>
      <w:r>
        <w:rPr>
          <w:rFonts w:ascii="Times New Roman" w:hAnsi="Times New Roman"/>
          <w:color w:val="000000"/>
          <w:sz w:val="28"/>
          <w:lang w:val="ru-RU"/>
        </w:rPr>
        <w:t xml:space="preserve">який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позитивний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вплив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цього</w:t>
      </w:r>
      <w:r>
        <w:rPr>
          <w:rFonts w:ascii="Times New Roman" w:hAnsi="Times New Roman"/>
          <w:color w:val="000000"/>
          <w:sz w:val="28"/>
          <w:lang w:val="ru-RU"/>
        </w:rPr>
        <w:t xml:space="preserve"> результату на </w:t>
      </w:r>
      <w:r>
        <w:rPr>
          <w:rFonts w:ascii="Times New Roman" w:hAnsi="Times New Roman"/>
          <w:color w:val="000000"/>
          <w:sz w:val="28"/>
          <w:lang w:val="ru-RU"/>
        </w:rPr>
        <w:t xml:space="preserve">окрему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соц</w:t>
      </w:r>
      <w:r>
        <w:rPr>
          <w:rFonts w:ascii="Times New Roman" w:hAnsi="Times New Roman"/>
          <w:color w:val="000000"/>
          <w:sz w:val="28"/>
          <w:lang w:val="ru-RU"/>
        </w:rPr>
        <w:t xml:space="preserve">іальну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групу</w:t>
      </w:r>
      <w:r>
        <w:rPr>
          <w:rFonts w:ascii="Times New Roman" w:hAnsi="Times New Roman"/>
          <w:color w:val="000000"/>
          <w:sz w:val="28"/>
          <w:lang w:val="ru-RU"/>
        </w:rPr>
        <w:t xml:space="preserve">, всю громаду, </w:t>
      </w:r>
      <w:r>
        <w:rPr>
          <w:rFonts w:ascii="Times New Roman" w:hAnsi="Times New Roman"/>
          <w:color w:val="000000"/>
          <w:sz w:val="28"/>
          <w:lang w:val="ru-RU"/>
        </w:rPr>
        <w:t xml:space="preserve">тобто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позитивні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наслідки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від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реалізації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вашого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проекту.)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i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Опис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проекту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1. Проблема, на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вирішення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якої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направлено проект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(не </w:t>
      </w:r>
      <w:r>
        <w:rPr>
          <w:rFonts w:ascii="Times New Roman" w:hAnsi="Times New Roman"/>
          <w:color w:val="000000"/>
          <w:sz w:val="28"/>
          <w:lang w:val="ru-RU"/>
        </w:rPr>
        <w:t xml:space="preserve">більше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двох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сторінок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формату А</w:t>
      </w:r>
      <w:r>
        <w:rPr>
          <w:rFonts w:ascii="Times New Roman" w:hAnsi="Times New Roman"/>
          <w:color w:val="000000"/>
          <w:sz w:val="28"/>
          <w:lang w:val="ru-RU"/>
        </w:rPr>
        <w:t xml:space="preserve">4</w:t>
      </w:r>
      <w:r>
        <w:rPr>
          <w:rFonts w:ascii="Times New Roman" w:hAnsi="Times New Roman"/>
          <w:color w:val="000000"/>
          <w:sz w:val="28"/>
          <w:lang w:val="ru-RU"/>
        </w:rPr>
        <w:t xml:space="preserve">, шрифтом 12 у один </w:t>
      </w:r>
      <w:r>
        <w:rPr>
          <w:rFonts w:ascii="Times New Roman" w:hAnsi="Times New Roman"/>
          <w:color w:val="000000"/>
          <w:sz w:val="28"/>
          <w:lang w:val="ru-RU"/>
        </w:rPr>
        <w:t xml:space="preserve">інтервал</w:t>
      </w:r>
      <w:r>
        <w:rPr>
          <w:rFonts w:ascii="Times New Roman" w:hAnsi="Times New Roman"/>
          <w:color w:val="000000"/>
          <w:sz w:val="28"/>
          <w:lang w:val="ru-RU"/>
        </w:rPr>
        <w:t xml:space="preserve">)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Опишіть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ваше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бачення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проблеми</w:t>
      </w:r>
      <w:r>
        <w:rPr>
          <w:rFonts w:ascii="Times New Roman" w:hAnsi="Times New Roman"/>
          <w:color w:val="000000"/>
          <w:sz w:val="28"/>
          <w:lang w:val="ru-RU"/>
        </w:rPr>
        <w:t xml:space="preserve"> та </w:t>
      </w:r>
      <w:r>
        <w:rPr>
          <w:rFonts w:ascii="Times New Roman" w:hAnsi="Times New Roman"/>
          <w:color w:val="000000"/>
          <w:sz w:val="28"/>
          <w:lang w:val="ru-RU"/>
        </w:rPr>
        <w:t xml:space="preserve">шляхів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її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вирішення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 xml:space="preserve">мінімізації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  <w:lang w:val="ru-RU"/>
        </w:rPr>
        <w:t xml:space="preserve">що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пропонуєте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Що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було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зроблено</w:t>
      </w:r>
      <w:r>
        <w:rPr>
          <w:rFonts w:ascii="Times New Roman" w:hAnsi="Times New Roman"/>
          <w:color w:val="000000"/>
          <w:sz w:val="28"/>
          <w:lang w:val="ru-RU"/>
        </w:rPr>
        <w:t xml:space="preserve"> вами </w:t>
      </w:r>
      <w:r>
        <w:rPr>
          <w:rFonts w:ascii="Times New Roman" w:hAnsi="Times New Roman"/>
          <w:color w:val="000000"/>
          <w:sz w:val="28"/>
          <w:lang w:val="ru-RU"/>
        </w:rPr>
        <w:t xml:space="preserve">чи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вашою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організацією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щодо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проекту за </w:t>
      </w:r>
      <w:r>
        <w:rPr>
          <w:rFonts w:ascii="Times New Roman" w:hAnsi="Times New Roman"/>
          <w:color w:val="000000"/>
          <w:sz w:val="28"/>
          <w:lang w:val="ru-RU"/>
        </w:rPr>
        <w:t xml:space="preserve">попередній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період</w:t>
      </w:r>
      <w:r>
        <w:rPr>
          <w:rFonts w:ascii="Times New Roman" w:hAnsi="Times New Roman"/>
          <w:color w:val="000000"/>
          <w:sz w:val="28"/>
          <w:lang w:val="ru-RU"/>
        </w:rPr>
        <w:t xml:space="preserve">? </w:t>
      </w:r>
      <w:r>
        <w:rPr>
          <w:rFonts w:ascii="Times New Roman" w:hAnsi="Times New Roman"/>
          <w:color w:val="000000"/>
          <w:sz w:val="28"/>
          <w:lang w:val="ru-RU"/>
        </w:rPr>
        <w:t xml:space="preserve">Обґрунтуйте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чому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реалізація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цього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проекту </w:t>
      </w:r>
      <w:r>
        <w:rPr>
          <w:rFonts w:ascii="Times New Roman" w:hAnsi="Times New Roman"/>
          <w:color w:val="000000"/>
          <w:sz w:val="28"/>
          <w:lang w:val="ru-RU"/>
        </w:rPr>
        <w:t xml:space="preserve">сприятиме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розв'язанню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зазначеної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проблеми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sz w:val="28"/>
        </w:rPr>
      </w:r>
    </w:p>
    <w:p>
      <w:pPr>
        <w:jc w:val="both"/>
        <w:rPr>
          <w:rFonts w:ascii="Times New Roman" w:hAnsi="Times New Roman"/>
          <w:i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2. Мета проекту (2-3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абзаци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3. План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реалізації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проекту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Викладіть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детальний</w:t>
      </w:r>
      <w:r>
        <w:rPr>
          <w:rFonts w:ascii="Times New Roman" w:hAnsi="Times New Roman"/>
          <w:color w:val="000000"/>
          <w:sz w:val="28"/>
          <w:lang w:val="ru-RU"/>
        </w:rPr>
        <w:t xml:space="preserve"> план </w:t>
      </w:r>
      <w:r>
        <w:rPr>
          <w:rFonts w:ascii="Times New Roman" w:hAnsi="Times New Roman"/>
          <w:color w:val="000000"/>
          <w:sz w:val="28"/>
          <w:lang w:val="ru-RU"/>
        </w:rPr>
        <w:t xml:space="preserve">реалізації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проекту в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просторі</w:t>
      </w:r>
      <w:r>
        <w:rPr>
          <w:rFonts w:ascii="Times New Roman" w:hAnsi="Times New Roman"/>
          <w:color w:val="000000"/>
          <w:sz w:val="28"/>
          <w:lang w:val="ru-RU"/>
        </w:rPr>
        <w:t xml:space="preserve"> та </w:t>
      </w:r>
      <w:r>
        <w:rPr>
          <w:rFonts w:ascii="Times New Roman" w:hAnsi="Times New Roman"/>
          <w:color w:val="000000"/>
          <w:sz w:val="28"/>
          <w:lang w:val="ru-RU"/>
        </w:rPr>
        <w:t xml:space="preserve">часі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 xml:space="preserve">бажано</w:t>
      </w:r>
      <w:r>
        <w:rPr>
          <w:rFonts w:ascii="Times New Roman" w:hAnsi="Times New Roman"/>
          <w:color w:val="000000"/>
          <w:sz w:val="28"/>
          <w:lang w:val="ru-RU"/>
        </w:rPr>
        <w:t xml:space="preserve"> у </w:t>
      </w:r>
      <w:r>
        <w:rPr>
          <w:rFonts w:ascii="Times New Roman" w:hAnsi="Times New Roman"/>
          <w:color w:val="000000"/>
          <w:sz w:val="28"/>
          <w:lang w:val="ru-RU"/>
        </w:rPr>
        <w:t xml:space="preserve">формі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таблиці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4.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Ресурси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необхідні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для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реалізації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проекту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5.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Результати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реалізації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проекту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Опишіть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які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кількісні</w:t>
      </w:r>
      <w:r>
        <w:rPr>
          <w:rFonts w:ascii="Times New Roman" w:hAnsi="Times New Roman"/>
          <w:color w:val="000000"/>
          <w:sz w:val="28"/>
          <w:lang w:val="ru-RU"/>
        </w:rPr>
        <w:t xml:space="preserve"> та </w:t>
      </w:r>
      <w:r>
        <w:rPr>
          <w:rFonts w:ascii="Times New Roman" w:hAnsi="Times New Roman"/>
          <w:color w:val="000000"/>
          <w:sz w:val="28"/>
          <w:lang w:val="ru-RU"/>
        </w:rPr>
        <w:t xml:space="preserve">якісні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результати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очіку</w:t>
      </w:r>
      <w:r>
        <w:rPr>
          <w:rFonts w:ascii="Times New Roman" w:hAnsi="Times New Roman"/>
          <w:color w:val="000000"/>
          <w:sz w:val="28"/>
          <w:lang w:val="ru-RU"/>
        </w:rPr>
        <w:t xml:space="preserve">єте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отримати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i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Бюджет проекту</w:t>
      </w:r>
      <w:r>
        <w:rPr>
          <w:sz w:val="28"/>
        </w:rPr>
      </w:r>
    </w:p>
    <w:p>
      <w:pPr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Орієнтовна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схема бюджету (у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гривнях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sz w:val="28"/>
        </w:rPr>
      </w:r>
    </w:p>
    <w:tbl>
      <w:tblPr>
        <w:tblW w:w="907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402"/>
        <w:gridCol w:w="1849"/>
        <w:gridCol w:w="1882"/>
        <w:gridCol w:w="1946"/>
      </w:tblGrid>
      <w:tr>
        <w:trPr>
          <w:trHeight w:val="36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  <w:t xml:space="preserve">Статті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видатків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  <w:t xml:space="preserve">Кількість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  <w:t xml:space="preserve">Ціна</w:t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  <w:t xml:space="preserve">Сума</w:t>
            </w:r>
            <w:r/>
          </w:p>
        </w:tc>
      </w:tr>
      <w:tr>
        <w:trPr>
          <w:trHeight w:val="2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  <w:t xml:space="preserve">1.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5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  <w:t xml:space="preserve">…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4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color w:val="000000"/>
              </w:rPr>
              <w:t xml:space="preserve">УСЬОГО: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rPr>
          <w:rFonts w:ascii="Times New Roman" w:hAnsi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</w:rPr>
      </w:r>
      <w:r/>
    </w:p>
    <w:p>
      <w:pPr>
        <w:rPr>
          <w:rFonts w:ascii="Times New Roman" w:hAnsi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</w:rPr>
      </w:r>
      <w:r/>
    </w:p>
    <w:p>
      <w:pPr>
        <w:ind w:left="40"/>
        <w:jc w:val="both"/>
        <w:rPr>
          <w:rFonts w:ascii="Times New Roman" w:hAnsi="Times New Roman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</w:rPr>
        <w:t xml:space="preserve">  </w:t>
      </w:r>
      <w:r>
        <w:rPr>
          <w:rFonts w:ascii="Times New Roman" w:hAnsi="Times New Roman" w:eastAsia="Calibri"/>
        </w:rPr>
        <w:t xml:space="preserve">___________________       __________________     "___" _____________ 2019 р.</w:t>
      </w:r>
      <w:r/>
    </w:p>
    <w:p>
      <w:pPr>
        <w:ind w:firstLine="708"/>
        <w:jc w:val="both"/>
        <w:rPr>
          <w:rFonts w:ascii="Times New Roman" w:hAnsi="Times New Roman" w:eastAsia="Calibri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/>
        </w:rPr>
        <w:t xml:space="preserve">    </w:t>
      </w:r>
      <w:r>
        <w:rPr>
          <w:rFonts w:ascii="Times New Roman" w:hAnsi="Times New Roman" w:eastAsia="Calibri"/>
          <w:sz w:val="20"/>
          <w:szCs w:val="20"/>
        </w:rPr>
        <w:t xml:space="preserve">(ПІБ)</w:t>
      </w:r>
      <w:r>
        <w:rPr>
          <w:rFonts w:ascii="Times New Roman" w:hAnsi="Times New Roman" w:eastAsia="Calibri"/>
          <w:sz w:val="20"/>
          <w:szCs w:val="20"/>
        </w:rPr>
        <w:tab/>
      </w:r>
      <w:r>
        <w:rPr>
          <w:rFonts w:ascii="Times New Roman" w:hAnsi="Times New Roman" w:eastAsia="Calibri"/>
          <w:sz w:val="20"/>
          <w:szCs w:val="20"/>
        </w:rPr>
        <w:tab/>
        <w:t xml:space="preserve">                         (</w:t>
      </w:r>
      <w:r>
        <w:rPr>
          <w:rFonts w:ascii="Times New Roman" w:hAnsi="Times New Roman" w:eastAsia="Calibri"/>
          <w:sz w:val="20"/>
          <w:szCs w:val="20"/>
        </w:rPr>
        <w:t xml:space="preserve">підпис</w:t>
      </w:r>
      <w:r>
        <w:rPr>
          <w:rFonts w:ascii="Times New Roman" w:hAnsi="Times New Roman" w:eastAsia="Calibri"/>
          <w:sz w:val="20"/>
          <w:szCs w:val="20"/>
        </w:rPr>
        <w:t xml:space="preserve">)</w:t>
      </w:r>
      <w:r>
        <w:rPr>
          <w:rFonts w:ascii="Times New Roman" w:hAnsi="Times New Roman" w:eastAsia="Calibri"/>
          <w:sz w:val="20"/>
          <w:szCs w:val="20"/>
        </w:rPr>
        <w:tab/>
      </w:r>
      <w:r>
        <w:rPr>
          <w:rFonts w:ascii="Times New Roman" w:hAnsi="Times New Roman" w:eastAsia="Calibri"/>
          <w:sz w:val="20"/>
          <w:szCs w:val="20"/>
        </w:rPr>
        <w:tab/>
        <w:t xml:space="preserve">                     (</w:t>
      </w:r>
      <w:r>
        <w:rPr>
          <w:rFonts w:ascii="Times New Roman" w:hAnsi="Times New Roman" w:eastAsia="Calibri"/>
          <w:sz w:val="20"/>
          <w:szCs w:val="20"/>
        </w:rPr>
        <w:t xml:space="preserve">дата</w:t>
      </w:r>
      <w:r>
        <w:rPr>
          <w:rFonts w:ascii="Times New Roman" w:hAnsi="Times New Roman" w:eastAsia="Calibri"/>
          <w:sz w:val="20"/>
          <w:szCs w:val="20"/>
        </w:rPr>
        <w:t xml:space="preserve">)</w:t>
      </w:r>
      <w:r/>
    </w:p>
    <w:sectPr>
      <w:footnotePr/>
      <w:type w:val="nextPage"/>
      <w:pgSz w:w="11906" w:h="16838"/>
      <w:pgMar w:top="851" w:right="851" w:bottom="851" w:left="1418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TimesNewRoman">
    <w:panose1 w:val="02060803050605020204"/>
  </w:font>
  <w:font w:name="Symbol">
    <w:panose1 w:val="05010000000000000000"/>
  </w:font>
  <w:font w:name="Tahoma">
    <w:panose1 w:val="020B06040305040402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"/>
      <w:lvlJc w:val="left"/>
      <w:pPr>
        <w:ind w:left="502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>
      <w:start w:val="1"/>
      <w:numFmt w:val="decimal"/>
      <w:suff w:val="tab"/>
      <w:lvlText w:val="%3."/>
      <w:lvlJc w:val="left"/>
      <w:pPr>
        <w:ind w:left="2084" w:hanging="359"/>
        <w:tabs>
          <w:tab w:val="left" w:pos="2084" w:leader="none"/>
        </w:tabs>
      </w:pPr>
    </w:lvl>
    <w:lvl w:ilvl="3">
      <w:start w:val="1"/>
      <w:numFmt w:val="decimal"/>
      <w:suff w:val="tab"/>
      <w:lvlText w:val="%4."/>
      <w:lvlJc w:val="left"/>
      <w:pPr>
        <w:ind w:left="2804" w:hanging="359"/>
        <w:tabs>
          <w:tab w:val="left" w:pos="2804" w:leader="none"/>
        </w:tabs>
      </w:pPr>
    </w:lvl>
    <w:lvl w:ilvl="4">
      <w:start w:val="1"/>
      <w:numFmt w:val="decimal"/>
      <w:suff w:val="tab"/>
      <w:lvlText w:val="%5."/>
      <w:lvlJc w:val="left"/>
      <w:pPr>
        <w:ind w:left="3524" w:hanging="359"/>
        <w:tabs>
          <w:tab w:val="left" w:pos="3524" w:leader="none"/>
        </w:tabs>
      </w:pPr>
    </w:lvl>
    <w:lvl w:ilvl="5">
      <w:start w:val="1"/>
      <w:numFmt w:val="decimal"/>
      <w:suff w:val="tab"/>
      <w:lvlText w:val="%6."/>
      <w:lvlJc w:val="left"/>
      <w:pPr>
        <w:ind w:left="4244" w:hanging="359"/>
        <w:tabs>
          <w:tab w:val="left" w:pos="4244" w:leader="none"/>
        </w:tabs>
      </w:pPr>
    </w:lvl>
    <w:lvl w:ilvl="6">
      <w:start w:val="1"/>
      <w:numFmt w:val="decimal"/>
      <w:suff w:val="tab"/>
      <w:lvlText w:val="%7."/>
      <w:lvlJc w:val="left"/>
      <w:pPr>
        <w:ind w:left="4964" w:hanging="359"/>
        <w:tabs>
          <w:tab w:val="left" w:pos="4964" w:leader="none"/>
        </w:tabs>
      </w:pPr>
    </w:lvl>
    <w:lvl w:ilvl="7">
      <w:start w:val="1"/>
      <w:numFmt w:val="decimal"/>
      <w:suff w:val="tab"/>
      <w:lvlText w:val="%8."/>
      <w:lvlJc w:val="left"/>
      <w:pPr>
        <w:ind w:left="5684" w:hanging="359"/>
        <w:tabs>
          <w:tab w:val="left" w:pos="5684" w:leader="none"/>
        </w:tabs>
      </w:pPr>
    </w:lvl>
    <w:lvl w:ilvl="8">
      <w:start w:val="1"/>
      <w:numFmt w:val="decimal"/>
      <w:suff w:val="tab"/>
      <w:lvlText w:val="%9."/>
      <w:lvlJc w:val="left"/>
      <w:pPr>
        <w:ind w:left="6404" w:hanging="359"/>
        <w:tabs>
          <w:tab w:val="left" w:pos="6404" w:leader="none"/>
        </w:tabs>
      </w:pPr>
    </w:lvl>
  </w:abstractNum>
  <w:abstractNum w:abstractNumId="4">
    <w:multiLevelType w:val="hybridMultilevel"/>
    <w:lvl w:ilvl="0">
      <w:start w:val="4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846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566" w:hanging="359"/>
      </w:pPr>
    </w:lvl>
    <w:lvl w:ilvl="2">
      <w:start w:val="1"/>
      <w:numFmt w:val="lowerRoman"/>
      <w:suff w:val="tab"/>
      <w:lvlText w:val="%3."/>
      <w:lvlJc w:val="right"/>
      <w:pPr>
        <w:ind w:left="2286" w:hanging="179"/>
      </w:pPr>
    </w:lvl>
    <w:lvl w:ilvl="3">
      <w:start w:val="1"/>
      <w:numFmt w:val="decimal"/>
      <w:suff w:val="tab"/>
      <w:lvlText w:val="%4."/>
      <w:lvlJc w:val="left"/>
      <w:pPr>
        <w:ind w:left="3006" w:hanging="359"/>
      </w:pPr>
    </w:lvl>
    <w:lvl w:ilvl="4">
      <w:start w:val="1"/>
      <w:numFmt w:val="lowerLetter"/>
      <w:suff w:val="tab"/>
      <w:lvlText w:val="%5."/>
      <w:lvlJc w:val="left"/>
      <w:pPr>
        <w:ind w:left="3726" w:hanging="359"/>
      </w:pPr>
    </w:lvl>
    <w:lvl w:ilvl="5">
      <w:start w:val="1"/>
      <w:numFmt w:val="lowerRoman"/>
      <w:suff w:val="tab"/>
      <w:lvlText w:val="%6."/>
      <w:lvlJc w:val="right"/>
      <w:pPr>
        <w:ind w:left="4446" w:hanging="179"/>
      </w:pPr>
    </w:lvl>
    <w:lvl w:ilvl="6">
      <w:start w:val="1"/>
      <w:numFmt w:val="decimal"/>
      <w:suff w:val="tab"/>
      <w:lvlText w:val="%7."/>
      <w:lvlJc w:val="left"/>
      <w:pPr>
        <w:ind w:left="5166" w:hanging="359"/>
      </w:pPr>
    </w:lvl>
    <w:lvl w:ilvl="7">
      <w:start w:val="1"/>
      <w:numFmt w:val="lowerLetter"/>
      <w:suff w:val="tab"/>
      <w:lvlText w:val="%8."/>
      <w:lvlJc w:val="left"/>
      <w:pPr>
        <w:ind w:left="5886" w:hanging="359"/>
      </w:pPr>
    </w:lvl>
    <w:lvl w:ilvl="8">
      <w:start w:val="1"/>
      <w:numFmt w:val="lowerRoman"/>
      <w:suff w:val="tab"/>
      <w:lvlText w:val="%9."/>
      <w:lvlJc w:val="right"/>
      <w:pPr>
        <w:ind w:left="6606" w:hanging="179"/>
      </w:p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Calibri" w:hAnsi="Calibri" w:cs="Times New Roman" w:eastAsia="Times New Roman" w:hint="default"/>
      </w:rPr>
    </w:lvl>
    <w:lvl w:ilvl="1">
      <w:start w:val="1"/>
      <w:numFmt w:val="decimal"/>
      <w:suff w:val="tab"/>
      <w:lvlText w:val="%1.%2."/>
      <w:lvlJc w:val="left"/>
      <w:pPr>
        <w:ind w:left="1080" w:hanging="719"/>
      </w:pPr>
      <w:rPr>
        <w:rFonts w:eastAsia="TimesNewRoman" w:hint="default"/>
      </w:rPr>
    </w:lvl>
    <w:lvl w:ilvl="2">
      <w:start w:val="1"/>
      <w:numFmt w:val="decimal"/>
      <w:suff w:val="tab"/>
      <w:lvlText w:val="%1.%2.%3."/>
      <w:lvlJc w:val="left"/>
      <w:pPr>
        <w:ind w:left="1080" w:hanging="719"/>
      </w:pPr>
      <w:rPr>
        <w:rFonts w:eastAsia="TimesNewRoman" w:hint="default"/>
      </w:rPr>
    </w:lvl>
    <w:lvl w:ilvl="3">
      <w:start w:val="1"/>
      <w:numFmt w:val="decimal"/>
      <w:suff w:val="tab"/>
      <w:lvlText w:val="%1.%2.%3.%4."/>
      <w:lvlJc w:val="left"/>
      <w:pPr>
        <w:ind w:left="1440" w:hanging="1079"/>
      </w:pPr>
      <w:rPr>
        <w:rFonts w:eastAsia="TimesNewRoman" w:hint="default"/>
      </w:rPr>
    </w:lvl>
    <w:lvl w:ilvl="4">
      <w:start w:val="1"/>
      <w:numFmt w:val="decimal"/>
      <w:suff w:val="tab"/>
      <w:lvlText w:val="%1.%2.%3.%4.%5."/>
      <w:lvlJc w:val="left"/>
      <w:pPr>
        <w:ind w:left="1440" w:hanging="1079"/>
      </w:pPr>
      <w:rPr>
        <w:rFonts w:eastAsia="TimesNew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800" w:hanging="1439"/>
      </w:pPr>
      <w:rPr>
        <w:rFonts w:eastAsia="TimesNew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800" w:hanging="1439"/>
      </w:pPr>
      <w:rPr>
        <w:rFonts w:eastAsia="TimesNew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799"/>
      </w:pPr>
      <w:rPr>
        <w:rFonts w:eastAsia="TimesNew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59"/>
      </w:pPr>
      <w:rPr>
        <w:rFonts w:eastAsia="TimesNewRoman"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51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23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95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67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39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11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83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55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270" w:hanging="359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cs="Times New Roman" w:eastAsia="Times New Roman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3"/>
    <w:link w:val="18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3"/>
    <w:link w:val="18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3"/>
    <w:link w:val="18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3"/>
    <w:link w:val="18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3"/>
    <w:link w:val="18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3"/>
    <w:link w:val="18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3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3"/>
    <w:link w:val="19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3"/>
    <w:link w:val="19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3"/>
    <w:link w:val="205"/>
    <w:uiPriority w:val="10"/>
    <w:rPr>
      <w:sz w:val="48"/>
      <w:szCs w:val="48"/>
    </w:rPr>
  </w:style>
  <w:style w:type="character" w:styleId="35">
    <w:name w:val="Subtitle Char"/>
    <w:basedOn w:val="193"/>
    <w:link w:val="207"/>
    <w:uiPriority w:val="11"/>
    <w:rPr>
      <w:sz w:val="24"/>
      <w:szCs w:val="24"/>
    </w:rPr>
  </w:style>
  <w:style w:type="character" w:styleId="37">
    <w:name w:val="Quote Char"/>
    <w:link w:val="213"/>
    <w:uiPriority w:val="29"/>
    <w:rPr>
      <w:i/>
    </w:rPr>
  </w:style>
  <w:style w:type="character" w:styleId="39">
    <w:name w:val="Intense Quote Char"/>
    <w:link w:val="215"/>
    <w:uiPriority w:val="30"/>
    <w:rPr>
      <w:i/>
    </w:rPr>
  </w:style>
  <w:style w:type="paragraph" w:styleId="40">
    <w:name w:val="Header"/>
    <w:basedOn w:val="18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93"/>
    <w:link w:val="40"/>
    <w:uiPriority w:val="99"/>
  </w:style>
  <w:style w:type="paragraph" w:styleId="42">
    <w:name w:val="Footer"/>
    <w:basedOn w:val="18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93"/>
    <w:link w:val="42"/>
    <w:uiPriority w:val="99"/>
  </w:style>
  <w:style w:type="table" w:styleId="45">
    <w:name w:val="Lined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83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93"/>
    <w:uiPriority w:val="99"/>
    <w:unhideWhenUsed/>
    <w:rPr>
      <w:vertAlign w:val="superscript"/>
    </w:rPr>
  </w:style>
  <w:style w:type="paragraph" w:styleId="70">
    <w:name w:val="toc 1"/>
    <w:basedOn w:val="183"/>
    <w:next w:val="183"/>
    <w:uiPriority w:val="39"/>
    <w:unhideWhenUsed/>
    <w:pPr>
      <w:ind w:left="0" w:right="0" w:hanging="0"/>
      <w:spacing w:after="57"/>
    </w:pPr>
  </w:style>
  <w:style w:type="paragraph" w:styleId="71">
    <w:name w:val="toc 2"/>
    <w:basedOn w:val="183"/>
    <w:next w:val="183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3"/>
    <w:next w:val="183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3"/>
    <w:next w:val="183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3"/>
    <w:next w:val="183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3"/>
    <w:next w:val="183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3"/>
    <w:next w:val="183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3"/>
    <w:next w:val="183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3"/>
    <w:next w:val="183"/>
    <w:uiPriority w:val="39"/>
    <w:unhideWhenUsed/>
    <w:pPr>
      <w:ind w:left="2268" w:right="0" w:hanging="0"/>
      <w:spacing w:after="57"/>
    </w:pPr>
  </w:style>
  <w:style w:type="paragraph" w:styleId="183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184">
    <w:name w:val="Heading 1"/>
    <w:basedOn w:val="183"/>
    <w:next w:val="183"/>
    <w:link w:val="19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185">
    <w:name w:val="Heading 2"/>
    <w:basedOn w:val="183"/>
    <w:next w:val="183"/>
    <w:link w:val="19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186">
    <w:name w:val="Heading 3"/>
    <w:basedOn w:val="183"/>
    <w:next w:val="183"/>
    <w:link w:val="19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187">
    <w:name w:val="Heading 4"/>
    <w:basedOn w:val="183"/>
    <w:next w:val="183"/>
    <w:link w:val="19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188">
    <w:name w:val="Heading 5"/>
    <w:basedOn w:val="183"/>
    <w:next w:val="183"/>
    <w:link w:val="20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189">
    <w:name w:val="Heading 6"/>
    <w:basedOn w:val="183"/>
    <w:next w:val="183"/>
    <w:link w:val="201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190">
    <w:name w:val="Heading 7"/>
    <w:basedOn w:val="183"/>
    <w:next w:val="183"/>
    <w:link w:val="202"/>
    <w:qFormat/>
    <w:uiPriority w:val="9"/>
    <w:semiHidden/>
    <w:unhideWhenUsed/>
    <w:pPr>
      <w:spacing w:after="60" w:before="240"/>
      <w:outlineLvl w:val="6"/>
    </w:pPr>
  </w:style>
  <w:style w:type="paragraph" w:styleId="191">
    <w:name w:val="Heading 8"/>
    <w:basedOn w:val="183"/>
    <w:next w:val="183"/>
    <w:link w:val="20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192">
    <w:name w:val="Heading 9"/>
    <w:basedOn w:val="183"/>
    <w:next w:val="183"/>
    <w:link w:val="204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193" w:default="1">
    <w:name w:val="Default Paragraph Font"/>
    <w:uiPriority w:val="1"/>
    <w:semiHidden/>
    <w:unhideWhenUsed/>
  </w:style>
  <w:style w:type="table" w:styleId="1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5" w:default="1">
    <w:name w:val="No List"/>
    <w:uiPriority w:val="99"/>
    <w:semiHidden/>
    <w:unhideWhenUsed/>
  </w:style>
  <w:style w:type="character" w:styleId="196" w:customStyle="1">
    <w:name w:val="Заголовок 1 Знак"/>
    <w:basedOn w:val="193"/>
    <w:link w:val="184"/>
    <w:uiPriority w:val="9"/>
    <w:rPr>
      <w:rFonts w:ascii="Cambria" w:hAnsi="Cambria" w:eastAsia="Cambria"/>
      <w:b/>
      <w:bCs/>
      <w:sz w:val="32"/>
      <w:szCs w:val="32"/>
    </w:rPr>
  </w:style>
  <w:style w:type="character" w:styleId="197" w:customStyle="1">
    <w:name w:val="Заголовок 2 Знак"/>
    <w:basedOn w:val="193"/>
    <w:link w:val="18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198" w:customStyle="1">
    <w:name w:val="Заголовок 3 Знак"/>
    <w:basedOn w:val="193"/>
    <w:link w:val="18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199" w:customStyle="1">
    <w:name w:val="Заголовок 4 Знак"/>
    <w:basedOn w:val="193"/>
    <w:link w:val="187"/>
    <w:uiPriority w:val="9"/>
    <w:rPr>
      <w:b/>
      <w:bCs/>
      <w:sz w:val="28"/>
      <w:szCs w:val="28"/>
    </w:rPr>
  </w:style>
  <w:style w:type="character" w:styleId="200" w:customStyle="1">
    <w:name w:val="Заголовок 5 Знак"/>
    <w:basedOn w:val="193"/>
    <w:link w:val="188"/>
    <w:uiPriority w:val="9"/>
    <w:semiHidden/>
    <w:rPr>
      <w:b/>
      <w:bCs/>
      <w:i/>
      <w:iCs/>
      <w:sz w:val="26"/>
      <w:szCs w:val="26"/>
    </w:rPr>
  </w:style>
  <w:style w:type="character" w:styleId="201" w:customStyle="1">
    <w:name w:val="Заголовок 6 Знак"/>
    <w:basedOn w:val="193"/>
    <w:link w:val="189"/>
    <w:uiPriority w:val="9"/>
    <w:semiHidden/>
    <w:rPr>
      <w:b/>
      <w:bCs/>
    </w:rPr>
  </w:style>
  <w:style w:type="character" w:styleId="202" w:customStyle="1">
    <w:name w:val="Заголовок 7 Знак"/>
    <w:basedOn w:val="193"/>
    <w:link w:val="190"/>
    <w:uiPriority w:val="9"/>
    <w:semiHidden/>
    <w:rPr>
      <w:sz w:val="24"/>
      <w:szCs w:val="24"/>
    </w:rPr>
  </w:style>
  <w:style w:type="character" w:styleId="203" w:customStyle="1">
    <w:name w:val="Заголовок 8 Знак"/>
    <w:basedOn w:val="193"/>
    <w:link w:val="191"/>
    <w:uiPriority w:val="9"/>
    <w:semiHidden/>
    <w:rPr>
      <w:i/>
      <w:iCs/>
      <w:sz w:val="24"/>
      <w:szCs w:val="24"/>
    </w:rPr>
  </w:style>
  <w:style w:type="character" w:styleId="204" w:customStyle="1">
    <w:name w:val="Заголовок 9 Знак"/>
    <w:basedOn w:val="193"/>
    <w:link w:val="192"/>
    <w:uiPriority w:val="9"/>
    <w:semiHidden/>
    <w:rPr>
      <w:rFonts w:ascii="Cambria" w:hAnsi="Cambria" w:eastAsia="Cambria"/>
    </w:rPr>
  </w:style>
  <w:style w:type="paragraph" w:styleId="205">
    <w:name w:val="Title"/>
    <w:basedOn w:val="183"/>
    <w:next w:val="183"/>
    <w:link w:val="20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206" w:customStyle="1">
    <w:name w:val="Название Знак"/>
    <w:basedOn w:val="193"/>
    <w:link w:val="205"/>
    <w:uiPriority w:val="10"/>
    <w:rPr>
      <w:rFonts w:ascii="Cambria" w:hAnsi="Cambria" w:eastAsia="Cambria"/>
      <w:b/>
      <w:bCs/>
      <w:sz w:val="32"/>
      <w:szCs w:val="32"/>
    </w:rPr>
  </w:style>
  <w:style w:type="paragraph" w:styleId="207">
    <w:name w:val="Subtitle"/>
    <w:basedOn w:val="183"/>
    <w:next w:val="183"/>
    <w:link w:val="20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208" w:customStyle="1">
    <w:name w:val="Подзаголовок Знак"/>
    <w:basedOn w:val="193"/>
    <w:link w:val="207"/>
    <w:uiPriority w:val="11"/>
    <w:rPr>
      <w:rFonts w:ascii="Cambria" w:hAnsi="Cambria" w:eastAsia="Cambria"/>
      <w:sz w:val="24"/>
      <w:szCs w:val="24"/>
    </w:rPr>
  </w:style>
  <w:style w:type="character" w:styleId="209">
    <w:name w:val="Strong"/>
    <w:basedOn w:val="193"/>
    <w:qFormat/>
    <w:uiPriority w:val="22"/>
    <w:rPr>
      <w:b/>
      <w:bCs/>
    </w:rPr>
  </w:style>
  <w:style w:type="character" w:styleId="210">
    <w:name w:val="Emphasis"/>
    <w:basedOn w:val="193"/>
    <w:qFormat/>
    <w:uiPriority w:val="20"/>
    <w:rPr>
      <w:rFonts w:ascii="Calibri" w:hAnsi="Calibri"/>
      <w:b/>
      <w:i/>
      <w:iCs/>
    </w:rPr>
  </w:style>
  <w:style w:type="paragraph" w:styleId="211">
    <w:name w:val="No Spacing"/>
    <w:basedOn w:val="183"/>
    <w:qFormat/>
    <w:uiPriority w:val="1"/>
    <w:rPr>
      <w:szCs w:val="32"/>
    </w:rPr>
  </w:style>
  <w:style w:type="paragraph" w:styleId="212">
    <w:name w:val="List Paragraph"/>
    <w:basedOn w:val="183"/>
    <w:qFormat/>
    <w:uiPriority w:val="34"/>
    <w:pPr>
      <w:contextualSpacing w:val="true"/>
      <w:ind w:left="720"/>
    </w:pPr>
  </w:style>
  <w:style w:type="paragraph" w:styleId="213">
    <w:name w:val="Quote"/>
    <w:basedOn w:val="183"/>
    <w:next w:val="183"/>
    <w:link w:val="214"/>
    <w:qFormat/>
    <w:uiPriority w:val="29"/>
    <w:rPr>
      <w:i/>
    </w:rPr>
  </w:style>
  <w:style w:type="character" w:styleId="214" w:customStyle="1">
    <w:name w:val="Цитата 2 Знак"/>
    <w:basedOn w:val="193"/>
    <w:link w:val="213"/>
    <w:uiPriority w:val="29"/>
    <w:rPr>
      <w:i/>
      <w:sz w:val="24"/>
      <w:szCs w:val="24"/>
    </w:rPr>
  </w:style>
  <w:style w:type="paragraph" w:styleId="215">
    <w:name w:val="Intense Quote"/>
    <w:basedOn w:val="183"/>
    <w:next w:val="183"/>
    <w:link w:val="216"/>
    <w:qFormat/>
    <w:uiPriority w:val="30"/>
    <w:rPr>
      <w:b/>
      <w:i/>
      <w:szCs w:val="22"/>
    </w:rPr>
    <w:pPr>
      <w:ind w:left="720" w:right="720"/>
    </w:pPr>
  </w:style>
  <w:style w:type="character" w:styleId="216" w:customStyle="1">
    <w:name w:val="Выделенная цитата Знак"/>
    <w:basedOn w:val="193"/>
    <w:link w:val="215"/>
    <w:uiPriority w:val="30"/>
    <w:rPr>
      <w:b/>
      <w:i/>
      <w:sz w:val="24"/>
    </w:rPr>
  </w:style>
  <w:style w:type="character" w:styleId="217">
    <w:name w:val="Subtle Emphasis"/>
    <w:qFormat/>
    <w:uiPriority w:val="19"/>
    <w:rPr>
      <w:i/>
      <w:color w:val="5A5A5A" w:themeColor="text1" w:themeTint="A5"/>
    </w:rPr>
  </w:style>
  <w:style w:type="character" w:styleId="218">
    <w:name w:val="Intense Emphasis"/>
    <w:basedOn w:val="193"/>
    <w:qFormat/>
    <w:uiPriority w:val="21"/>
    <w:rPr>
      <w:b/>
      <w:i/>
      <w:sz w:val="24"/>
      <w:szCs w:val="24"/>
      <w:u w:val="single"/>
    </w:rPr>
  </w:style>
  <w:style w:type="character" w:styleId="219">
    <w:name w:val="Subtle Reference"/>
    <w:basedOn w:val="193"/>
    <w:qFormat/>
    <w:uiPriority w:val="31"/>
    <w:rPr>
      <w:sz w:val="24"/>
      <w:szCs w:val="24"/>
      <w:u w:val="single"/>
    </w:rPr>
  </w:style>
  <w:style w:type="character" w:styleId="220">
    <w:name w:val="Intense Reference"/>
    <w:basedOn w:val="193"/>
    <w:qFormat/>
    <w:uiPriority w:val="32"/>
    <w:rPr>
      <w:b/>
      <w:sz w:val="24"/>
      <w:u w:val="single"/>
    </w:rPr>
  </w:style>
  <w:style w:type="character" w:styleId="221">
    <w:name w:val="Book Title"/>
    <w:basedOn w:val="193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222">
    <w:name w:val="TOC Heading"/>
    <w:basedOn w:val="184"/>
    <w:next w:val="183"/>
    <w:qFormat/>
    <w:uiPriority w:val="39"/>
    <w:semiHidden/>
    <w:unhideWhenUsed/>
    <w:pPr>
      <w:outlineLvl w:val="9"/>
    </w:pPr>
  </w:style>
  <w:style w:type="table" w:styleId="223">
    <w:name w:val="Table Grid"/>
    <w:basedOn w:val="1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24">
    <w:name w:val="HTML Preformatted"/>
    <w:basedOn w:val="183"/>
    <w:link w:val="225"/>
    <w:unhideWhenUsed/>
    <w:rPr>
      <w:rFonts w:ascii="Courier New" w:hAnsi="Courier New" w:cs="Courier New" w:eastAsia="Times New Roman"/>
      <w:sz w:val="20"/>
      <w:szCs w:val="20"/>
      <w:lang w:val="ru-RU" w:bidi="ar-SA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25" w:customStyle="1">
    <w:name w:val="Стандартный HTML Знак"/>
    <w:basedOn w:val="193"/>
    <w:link w:val="224"/>
    <w:rPr>
      <w:rFonts w:ascii="Courier New" w:hAnsi="Courier New" w:cs="Courier New" w:eastAsia="Times New Roman"/>
      <w:sz w:val="20"/>
      <w:szCs w:val="20"/>
      <w:lang w:val="ru-RU" w:bidi="ar-SA" w:eastAsia="ru-RU"/>
    </w:rPr>
  </w:style>
  <w:style w:type="character" w:styleId="226">
    <w:name w:val="Hyperlink"/>
    <w:basedOn w:val="193"/>
    <w:uiPriority w:val="99"/>
    <w:semiHidden/>
    <w:unhideWhenUsed/>
    <w:rPr>
      <w:color w:val="0000FF"/>
      <w:u w:val="single"/>
    </w:rPr>
  </w:style>
  <w:style w:type="paragraph" w:styleId="227">
    <w:name w:val="Balloon Text"/>
    <w:basedOn w:val="183"/>
    <w:link w:val="228"/>
    <w:uiPriority w:val="99"/>
    <w:semiHidden/>
    <w:unhideWhenUsed/>
    <w:rPr>
      <w:rFonts w:ascii="Tahoma" w:hAnsi="Tahoma" w:cs="Tahoma"/>
      <w:sz w:val="16"/>
      <w:szCs w:val="16"/>
    </w:rPr>
  </w:style>
  <w:style w:type="character" w:styleId="228" w:customStyle="1">
    <w:name w:val="Текст выноски Знак"/>
    <w:basedOn w:val="193"/>
    <w:link w:val="227"/>
    <w:uiPriority w:val="99"/>
    <w:semiHidden/>
    <w:rPr>
      <w:rFonts w:ascii="Tahoma" w:hAnsi="Tahoma" w:cs="Tahoma"/>
      <w:sz w:val="16"/>
      <w:szCs w:val="16"/>
    </w:rPr>
  </w:style>
  <w:style w:type="paragraph" w:styleId="229">
    <w:name w:val="Normal (Web)"/>
    <w:basedOn w:val="183"/>
    <w:uiPriority w:val="99"/>
    <w:semiHidden/>
    <w:unhideWhenUsed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hyperlink" Target="http://dsmsu.gov.ua/index/ua/material/4" TargetMode="External"/><Relationship Id="rId10" Type="http://schemas.openxmlformats.org/officeDocument/2006/relationships/hyperlink" Target="http://ukrainka.org/wp-content/uploads/2019/03/Dodatok-1-Zayavka.doc" TargetMode="External"/><Relationship Id="rId11" Type="http://schemas.openxmlformats.org/officeDocument/2006/relationships/hyperlink" Target="http://ukrainka.org/wp-content/uploads/2019/03/Dodatok-2-Aplikatsijna-forma.doc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