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/>
        <w:rPr>
          <w:rFonts w:ascii="Times New Roman" w:hAnsi="Times New Roman" w:eastAsia="Times New Roman"/>
          <w:sz w:val="28"/>
          <w:szCs w:val="28"/>
          <w:lang w:eastAsia="zh-CN"/>
        </w:rPr>
      </w:pPr>
      <w:r>
        <w:rPr>
          <w:rFonts w:ascii="Times New Roman" w:hAnsi="Times New Roman" w:eastAsia="Times New Roman"/>
          <w:sz w:val="28"/>
          <w:szCs w:val="28"/>
          <w:lang w:val="ru-RU"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42925" cy="752474"/>
                <wp:effectExtent l="0" t="0" r="9524" b="9524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1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54292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2.8pt;height:59.2pt;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jc w:val="center"/>
        <w:spacing w:lineRule="auto" w:line="240" w:after="0"/>
        <w:rPr>
          <w:rFonts w:ascii="Times New Roman" w:hAnsi="Times New Roman" w:eastAsia="Times New Roman"/>
          <w:b/>
          <w:sz w:val="28"/>
          <w:szCs w:val="28"/>
          <w:lang w:eastAsia="zh-CN"/>
        </w:rPr>
      </w:pPr>
      <w:r>
        <w:rPr>
          <w:rFonts w:ascii="Times New Roman" w:hAnsi="Times New Roman" w:eastAsia="Times New Roman"/>
          <w:sz w:val="28"/>
          <w:szCs w:val="28"/>
          <w:lang w:eastAsia="zh-CN"/>
        </w:rPr>
        <w:t xml:space="preserve">УКРАЇНА</w:t>
      </w:r>
      <w:r/>
    </w:p>
    <w:p>
      <w:pPr>
        <w:jc w:val="center"/>
        <w:spacing w:lineRule="auto" w:line="240" w:after="0"/>
        <w:rPr>
          <w:rFonts w:ascii="Times New Roman" w:hAnsi="Times New Roman" w:eastAsia="Times New Roman"/>
          <w:b/>
          <w:sz w:val="28"/>
          <w:szCs w:val="28"/>
          <w:lang w:eastAsia="zh-CN"/>
        </w:rPr>
      </w:pPr>
      <w:r>
        <w:rPr>
          <w:rFonts w:ascii="Times New Roman" w:hAnsi="Times New Roman" w:eastAsia="Times New Roman"/>
          <w:b/>
          <w:sz w:val="28"/>
          <w:szCs w:val="28"/>
          <w:lang w:eastAsia="zh-CN"/>
        </w:rPr>
        <w:t xml:space="preserve">МЕНСЬКА МІСЬКА РАДА</w:t>
      </w:r>
      <w:r/>
    </w:p>
    <w:p>
      <w:pPr>
        <w:jc w:val="center"/>
        <w:spacing w:lineRule="auto" w:line="240" w:after="0"/>
        <w:rPr>
          <w:rFonts w:ascii="Times New Roman" w:hAnsi="Times New Roman" w:eastAsia="Times New Roman"/>
          <w:b/>
          <w:sz w:val="28"/>
          <w:szCs w:val="28"/>
          <w:lang w:eastAsia="zh-CN"/>
        </w:rPr>
      </w:pPr>
      <w:r>
        <w:rPr>
          <w:rFonts w:ascii="Times New Roman" w:hAnsi="Times New Roman" w:eastAsia="Times New Roman"/>
          <w:b/>
          <w:sz w:val="28"/>
          <w:szCs w:val="28"/>
          <w:lang w:eastAsia="zh-CN"/>
        </w:rPr>
        <w:t xml:space="preserve">Менського району Чернігівської області</w:t>
      </w:r>
      <w:r/>
    </w:p>
    <w:p>
      <w:pPr>
        <w:jc w:val="center"/>
        <w:spacing w:lineRule="auto" w:line="240" w:after="0"/>
        <w:rPr>
          <w:rFonts w:ascii="Times New Roman" w:hAnsi="Times New Roman" w:eastAsia="Times New Roman"/>
          <w:sz w:val="28"/>
          <w:szCs w:val="28"/>
          <w:lang w:eastAsia="zh-CN"/>
        </w:rPr>
      </w:pPr>
      <w:r>
        <w:rPr>
          <w:rFonts w:ascii="Times New Roman" w:hAnsi="Times New Roman" w:eastAsia="Times New Roman"/>
          <w:b/>
          <w:sz w:val="28"/>
          <w:szCs w:val="28"/>
          <w:lang w:eastAsia="zh-CN"/>
        </w:rPr>
        <w:t xml:space="preserve">(</w:t>
      </w:r>
      <w:r>
        <w:rPr>
          <w:rFonts w:ascii="Times New Roman" w:hAnsi="Times New Roman" w:eastAsia="Times New Roman"/>
          <w:b/>
          <w:bCs/>
          <w:sz w:val="28"/>
          <w:szCs w:val="28"/>
          <w:lang w:eastAsia="zh-CN"/>
        </w:rPr>
        <w:t xml:space="preserve">тридцять </w:t>
      </w:r>
      <w:r>
        <w:rPr>
          <w:rFonts w:ascii="Times New Roman" w:hAnsi="Times New Roman" w:eastAsia="Times New Roman"/>
          <w:b/>
          <w:bCs/>
          <w:sz w:val="28"/>
          <w:szCs w:val="28"/>
          <w:lang w:eastAsia="zh-CN"/>
        </w:rPr>
        <w:t xml:space="preserve">п’ята</w:t>
      </w:r>
      <w:r>
        <w:rPr>
          <w:rFonts w:ascii="Times New Roman" w:hAnsi="Times New Roman" w:eastAsia="Times New Roman"/>
          <w:b/>
          <w:bCs/>
          <w:sz w:val="28"/>
          <w:szCs w:val="28"/>
          <w:lang w:eastAsia="zh-CN"/>
        </w:rPr>
        <w:t xml:space="preserve"> сесія сьомого скликання</w:t>
      </w:r>
      <w:r>
        <w:rPr>
          <w:rFonts w:ascii="Times New Roman" w:hAnsi="Times New Roman" w:eastAsia="Times New Roman"/>
          <w:b/>
          <w:sz w:val="28"/>
          <w:szCs w:val="28"/>
          <w:lang w:eastAsia="zh-CN"/>
        </w:rPr>
        <w:t xml:space="preserve">)</w:t>
      </w:r>
      <w:r/>
    </w:p>
    <w:p>
      <w:pPr>
        <w:ind w:left="15" w:hanging="14"/>
        <w:jc w:val="center"/>
        <w:spacing w:lineRule="auto" w:line="240" w:after="0"/>
        <w:tabs>
          <w:tab w:val="left" w:pos="3300" w:leader="none"/>
          <w:tab w:val="center" w:pos="4819" w:leader="none"/>
        </w:tabs>
        <w:rPr>
          <w:rFonts w:ascii="Times New Roman" w:hAnsi="Times New Roman" w:eastAsia="Times New Roman"/>
          <w:sz w:val="28"/>
          <w:szCs w:val="28"/>
          <w:lang w:eastAsia="zh-CN"/>
        </w:rPr>
      </w:pPr>
      <w:r>
        <w:rPr>
          <w:rFonts w:ascii="Times New Roman" w:hAnsi="Times New Roman" w:eastAsia="Times New Roman"/>
          <w:b/>
          <w:bCs/>
          <w:spacing w:val="60"/>
          <w:sz w:val="28"/>
          <w:szCs w:val="28"/>
          <w:lang w:eastAsia="zh-CN"/>
        </w:rPr>
        <w:t xml:space="preserve">ПРОЕКТ</w:t>
      </w:r>
      <w:r>
        <w:rPr>
          <w:rFonts w:ascii="Times New Roman" w:hAnsi="Times New Roman" w:eastAsia="Times New Roman"/>
          <w:b/>
          <w:bCs/>
          <w:spacing w:val="60"/>
          <w:sz w:val="28"/>
          <w:szCs w:val="28"/>
          <w:lang w:eastAsia="zh-CN"/>
        </w:rPr>
        <w:t xml:space="preserve"> </w:t>
      </w:r>
      <w:r>
        <w:rPr>
          <w:rFonts w:ascii="Times New Roman" w:hAnsi="Times New Roman" w:eastAsia="Times New Roman"/>
          <w:b/>
          <w:bCs/>
          <w:spacing w:val="60"/>
          <w:sz w:val="28"/>
          <w:szCs w:val="28"/>
          <w:lang w:eastAsia="zh-CN"/>
        </w:rPr>
        <w:t xml:space="preserve">РІШЕННЯ</w:t>
      </w:r>
      <w:r/>
    </w:p>
    <w:p>
      <w:pPr>
        <w:spacing w:lineRule="auto" w:line="240" w:after="0"/>
        <w:tabs>
          <w:tab w:val="left" w:pos="4678" w:leader="none"/>
        </w:tabs>
        <w:rPr>
          <w:rFonts w:ascii="Times New Roman" w:hAnsi="Times New Roman" w:eastAsia="Times New Roman"/>
          <w:sz w:val="28"/>
          <w:szCs w:val="28"/>
          <w:lang w:eastAsia="zh-CN"/>
        </w:rPr>
      </w:pPr>
      <w:r>
        <w:rPr>
          <w:rFonts w:ascii="Times New Roman" w:hAnsi="Times New Roman" w:eastAsia="Times New Roman"/>
          <w:sz w:val="28"/>
          <w:szCs w:val="28"/>
          <w:lang w:eastAsia="zh-CN"/>
        </w:rPr>
      </w:r>
      <w:r/>
    </w:p>
    <w:p>
      <w:pPr>
        <w:spacing w:lineRule="auto" w:line="240" w:after="0"/>
        <w:tabs>
          <w:tab w:val="left" w:pos="4678" w:leader="none"/>
        </w:tabs>
        <w:rPr>
          <w:rFonts w:ascii="Times New Roman" w:hAnsi="Times New Roman"/>
          <w:b/>
          <w:sz w:val="28"/>
          <w:szCs w:val="26"/>
        </w:rPr>
      </w:pPr>
      <w:r>
        <w:rPr>
          <w:rFonts w:ascii="Times New Roman" w:hAnsi="Times New Roman" w:eastAsia="Times New Roman"/>
          <w:sz w:val="28"/>
          <w:szCs w:val="28"/>
          <w:lang w:eastAsia="zh-CN"/>
        </w:rPr>
        <w:t xml:space="preserve">15</w:t>
      </w:r>
      <w:r>
        <w:rPr>
          <w:rFonts w:ascii="Times New Roman" w:hAnsi="Times New Roman" w:eastAsia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zh-CN"/>
        </w:rPr>
        <w:t xml:space="preserve">листопада</w:t>
      </w:r>
      <w:r>
        <w:rPr>
          <w:rFonts w:ascii="Times New Roman" w:hAnsi="Times New Roman" w:eastAsia="Times New Roman"/>
          <w:sz w:val="28"/>
          <w:szCs w:val="28"/>
          <w:lang w:eastAsia="zh-CN"/>
        </w:rPr>
        <w:t xml:space="preserve"> 2019 року</w:t>
      </w:r>
      <w:r>
        <w:rPr>
          <w:rFonts w:ascii="Times New Roman" w:hAnsi="Times New Roman" w:eastAsia="Times New Roman"/>
          <w:sz w:val="28"/>
          <w:szCs w:val="28"/>
          <w:lang w:eastAsia="zh-CN"/>
        </w:rPr>
        <w:tab/>
        <w:t xml:space="preserve">№ </w:t>
      </w:r>
      <w:r/>
    </w:p>
    <w:p>
      <w:pPr>
        <w:spacing w:lineRule="auto" w:line="240" w:after="0"/>
        <w:rPr>
          <w:rFonts w:ascii="Times New Roman" w:hAnsi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sz w:val="28"/>
          <w:szCs w:val="28"/>
          <w:lang w:eastAsia="ru-RU"/>
        </w:rPr>
      </w:r>
      <w:r/>
    </w:p>
    <w:p>
      <w:pPr>
        <w:pStyle w:val="171"/>
        <w:ind w:left="0" w:right="5104" w:hanging="0"/>
        <w:jc w:val="both"/>
        <w:spacing w:lineRule="auto" w:line="240" w:after="0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Про 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затвердження Переліку об’єктів і заходів,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що фінансуються за рахунок субвенції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з державного бюджету місцевим бюджетам на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формування інфраструктури Менської міської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об’єднаної територіальної громади</w:t>
      </w:r>
      <w:r/>
    </w:p>
    <w:p>
      <w:pPr>
        <w:ind w:right="14"/>
        <w:jc w:val="both"/>
        <w:spacing w:lineRule="auto" w:line="240" w:after="0"/>
        <w:rPr>
          <w:rFonts w:ascii="Times New Roman" w:hAnsi="Times New Roman"/>
          <w:sz w:val="20"/>
          <w:szCs w:val="28"/>
          <w:lang w:eastAsia="ru-RU"/>
        </w:rPr>
      </w:pPr>
      <w:r>
        <w:rPr>
          <w:rFonts w:ascii="Times New Roman" w:hAnsi="Times New Roman"/>
          <w:sz w:val="20"/>
          <w:szCs w:val="28"/>
          <w:lang w:eastAsia="ru-RU"/>
        </w:rPr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З метою розвитку та модернізації інфраструктури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Менськ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ої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міськ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ої об’єднаної територіальної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грома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д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и, відповідно до постанови Кабінету Міністрів України від 16 березня 2016 р. №200 «Деякі питання надання субвенції з Державного бюджету місцевим бюджетам на формування інфраструктури об’єднаних територіальних громад» зі змінами, враховуючи протокол №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13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 засідання комісії з розгляду поданих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виконавчими комітетами міських, селищних, сільських рад об’єднаних територіальних громад переліків проектів із проектними заявками, які можуть реалізуватися за рахунок коштів субвенції з державного бюджету місцевим бюджетам на формування інфраструктури об’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єднаних територіальних громад від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31 жовтня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2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019року, утвореної при Міністерстві регіонального розвитку, будівництва та житлово-комунального господарства України керуючись статтею 26 Закону України «Про місцеве самоврядування в Україні», Менська міська рада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ВИРІШИЛА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: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eastAsia="Times New Roman"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1.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Затвердити проект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и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, видатки на які здійснюватимуться за рахунок коштів субвенції з державного бюджету місцевим бюджетам на формування інфраструктури об’єднаних територіальних громад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у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 2019 р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оці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: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eastAsia="Times New Roman"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- 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Реконструкція автобусної зупинки по вул. Чернігівський шлях, поруч з буд.109, в м. Мена, Чернігівської області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 – 122,510 тис. грн.;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eastAsia="Times New Roman"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- 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Реконструкція автобусної зупинки по вул. Чернігівський шлях, поруч з буд.98, в м.  Мена, Чернігівської області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 – 123,323 тис. грн.;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eastAsia="Times New Roman"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- 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Реконструкція автобусної зупинки по вул. Чернігівський шлях, поруч з буд.81,  в м. Мена, Чернігівської області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 – 123,197 тис. грн.;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eastAsia="Times New Roman"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- 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Реконструкція автобусної зупинки по вул. Чернігівський шлях, поруч з буд. 60, в м. Мена, Чернігівської області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 – 79,751 тис. грн.;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eastAsia="Times New Roman"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- 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Реконструкція автобусної зупинки по вул. Сіверський шлях, поруч з буд. 47,  в м. Мена, Чернігівської області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 – 123,197 тис. грн.;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eastAsia="Times New Roman"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- 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Реконструкція автобусної зупинки по вул. Сіверський шлях, поруч з буд. 101,  в м. Мена, Чернігівської області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 – 123,197 тис. грн.;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eastAsia="Times New Roman"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- 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Реконструкція автобусної зупинки по вул. Вокзальна, поруч з буд. 29,  в м. Мена, Чернігівської області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 – 124,220 тис. грн.;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eastAsia="Times New Roman"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- 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Реконструкція автобусної зупинки по вул. Садова, поруч з буд.1, в м. Мена, Чернігівської області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 – 79,751 тис. грн.;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eastAsia="Times New Roman"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- 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Реконструкція автобусної зупинки по вул. Титаренка Сергія, поруч з буд. 49, в м.  Мена, Чернігівської області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 – 124,220 тис. грн.;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eastAsia="Times New Roman"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- 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Реконструкція автобусної зупинки по вул. Героїв України, в с. Синявка, Менського району, Чернігівської області 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– 54,115 тис. грн.;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eastAsia="Times New Roman"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- 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Реконструкція автобусної зупинки по вул. Миру в с. Величківка, Менського району, Чернігівської області 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– 54,115 тис. грн.;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eastAsia="Times New Roman"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- 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Реконструкція автобусної зупинки в с. Семенівка, Менського району, Чернігівської області 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–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54,639 тис. грн.;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eastAsia="Times New Roman"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- 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Реконструкція автобусної зупинки в с. Бірківка, Менського району, Чернігівської області 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– 54,293 тис. грн.;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eastAsia="Times New Roman"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- 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Реконструкція автобусної зупинки в смт. Макошино, Менського району, Чернігівської області 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– 53,220 тис. грн.;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eastAsia="Times New Roman"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- 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Реконструкція автобусної зупинки в с. Садове, Менського району, Чернігівської області 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– 54,115 тис. грн.;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eastAsia="Times New Roman"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- 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Реконструкція автобусної зупинки в с. Феськівка, Менського району, Чернігівської області 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– 52,137 тис. грн.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eastAsia="Times New Roman"/>
          <w:bCs/>
          <w:sz w:val="28"/>
          <w:szCs w:val="28"/>
          <w:lang w:val="ru-RU" w:eastAsia="ru-RU"/>
        </w:rPr>
      </w:pPr>
      <w:r>
        <w:rPr>
          <w:rFonts w:ascii="Times New Roman" w:hAnsi="Times New Roman" w:eastAsia="Times New Roman"/>
          <w:bCs/>
          <w:sz w:val="28"/>
          <w:szCs w:val="28"/>
          <w:lang w:val="ru-RU" w:eastAsia="ru-RU"/>
        </w:rPr>
        <w:t xml:space="preserve">Всього: 1 400 000 грн.</w:t>
      </w:r>
      <w:r/>
    </w:p>
    <w:p>
      <w:pPr>
        <w:pStyle w:val="173"/>
        <w:numPr>
          <w:ilvl w:val="0"/>
          <w:numId w:val="3"/>
        </w:numPr>
        <w:ind w:left="0" w:firstLine="360"/>
        <w:jc w:val="both"/>
        <w:spacing w:lineRule="auto" w:line="240" w:after="0"/>
        <w:rPr>
          <w:rFonts w:ascii="Times New Roman" w:hAnsi="Times New Roman" w:eastAsia="Times New Roman"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Відділу організаційної роботи та комп’ютерних технологій Менської міської ради опублікувати 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дане 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рішення на офіційному сайті Менської міської ради.</w:t>
      </w:r>
      <w:r/>
    </w:p>
    <w:p>
      <w:pPr>
        <w:pStyle w:val="173"/>
        <w:numPr>
          <w:ilvl w:val="0"/>
          <w:numId w:val="3"/>
        </w:numPr>
        <w:ind w:left="0" w:firstLine="360"/>
        <w:jc w:val="both"/>
        <w:spacing w:lineRule="auto" w:line="240" w:after="0"/>
        <w:rPr>
          <w:rFonts w:ascii="Times New Roman" w:hAnsi="Times New Roman" w:eastAsia="Times New Roman"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Контроль за виконанням цього рішення покласти на постійну комісію 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з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питань планування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, 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фінансів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, 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бюджету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та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соціально-економічного розвитку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.</w:t>
      </w:r>
      <w:r/>
    </w:p>
    <w:p>
      <w:pPr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eastAsia="ru-RU"/>
        </w:rPr>
      </w:pPr>
      <w:r/>
      <w:bookmarkStart w:id="0" w:name="_GoBack"/>
      <w:r/>
      <w:bookmarkEnd w:id="0"/>
      <w:r/>
      <w:r/>
    </w:p>
    <w:p>
      <w:pPr>
        <w:spacing w:lineRule="auto" w:line="240" w:after="0"/>
        <w:tabs>
          <w:tab w:val="left" w:pos="6521" w:leader="none"/>
        </w:tabs>
        <w:rPr>
          <w:rFonts w:ascii="Times New Roman" w:hAnsi="Times New Roman" w:eastAsia="Times New Roman"/>
          <w:b/>
          <w:sz w:val="28"/>
          <w:szCs w:val="28"/>
          <w:lang w:eastAsia="ar-SA"/>
        </w:rPr>
      </w:pPr>
      <w:r>
        <w:rPr>
          <w:rFonts w:ascii="Times New Roman" w:hAnsi="Times New Roman" w:eastAsia="Times New Roman"/>
          <w:b/>
          <w:sz w:val="28"/>
          <w:szCs w:val="28"/>
          <w:lang w:eastAsia="ar-SA"/>
        </w:rPr>
        <w:t xml:space="preserve">Міський голова</w:t>
      </w:r>
      <w:r>
        <w:rPr>
          <w:rFonts w:ascii="Times New Roman" w:hAnsi="Times New Roman" w:eastAsia="Times New Roman"/>
          <w:b/>
          <w:sz w:val="28"/>
          <w:szCs w:val="28"/>
          <w:lang w:eastAsia="ar-SA"/>
        </w:rPr>
        <w:tab/>
        <w:t xml:space="preserve"> Г. А. Примаков</w:t>
      </w:r>
      <w:r/>
    </w:p>
    <w:p>
      <w:pPr>
        <w:spacing w:lineRule="auto" w:line="240" w:after="0"/>
        <w:rPr>
          <w:rFonts w:ascii="Times New Roman" w:hAnsi="Times New Roman" w:eastAsia="Times New Roman"/>
          <w:b/>
          <w:sz w:val="28"/>
          <w:szCs w:val="28"/>
          <w:lang w:eastAsia="ar-SA"/>
        </w:rPr>
      </w:pPr>
      <w:r>
        <w:rPr>
          <w:rFonts w:ascii="Times New Roman" w:hAnsi="Times New Roman" w:eastAsia="Times New Roman"/>
          <w:b/>
          <w:sz w:val="28"/>
          <w:szCs w:val="28"/>
          <w:lang w:eastAsia="ar-SA"/>
        </w:rPr>
      </w:r>
      <w:r/>
    </w:p>
    <w:sectPr>
      <w:footnotePr/>
      <w:type w:val="nextPage"/>
      <w:pgSz w:w="11906" w:h="16838"/>
      <w:pgMar w:top="850" w:right="850" w:bottom="850" w:left="1417" w:gutter="0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30102010509060703"/>
  </w:font>
  <w:font w:name="Courier New">
    <w:panose1 w:val="020703090202050204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/>
      <w:r>
        <w:separator/>
      </w:r>
    </w:p>
  </w:footnote>
  <w:footnote w:type="continuationSeparator" w:id="0">
    <w:p>
      <w:pPr>
        <w:spacing w:lineRule="auto" w:line="240" w:after="0"/>
      </w:pPr>
      <w:r/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suff w:val="tab"/>
      <w:lvlText w:val="%1."/>
      <w:lvlJc w:val="left"/>
      <w:pPr>
        <w:ind w:left="720" w:hanging="359"/>
      </w:pPr>
    </w:lvl>
    <w:lvl w:ilvl="1">
      <w:start w:val="1"/>
      <w:numFmt w:val="decimal"/>
      <w:suff w:val="tab"/>
      <w:lvlText w:val="%1.%2"/>
      <w:lvlJc w:val="left"/>
      <w:pPr>
        <w:ind w:left="1095" w:hanging="374"/>
      </w:pPr>
      <w:rPr>
        <w:rFonts w:hint="default"/>
      </w:rPr>
    </w:lvl>
    <w:lvl w:ilvl="2">
      <w:start w:val="1"/>
      <w:numFmt w:val="decimal"/>
      <w:suff w:val="tab"/>
      <w:lvlText w:val="%1.%2.%3"/>
      <w:lvlJc w:val="left"/>
      <w:pPr>
        <w:ind w:left="1800" w:hanging="719"/>
      </w:pPr>
      <w:rPr>
        <w:rFonts w:hint="default"/>
      </w:rPr>
    </w:lvl>
    <w:lvl w:ilvl="3">
      <w:start w:val="1"/>
      <w:numFmt w:val="decimal"/>
      <w:suff w:val="tab"/>
      <w:lvlText w:val="%1.%2.%3.%4"/>
      <w:lvlJc w:val="left"/>
      <w:pPr>
        <w:ind w:left="2520" w:hanging="1079"/>
      </w:pPr>
      <w:rPr>
        <w:rFonts w:hint="default"/>
      </w:rPr>
    </w:lvl>
    <w:lvl w:ilvl="4">
      <w:start w:val="1"/>
      <w:numFmt w:val="decimal"/>
      <w:suff w:val="tab"/>
      <w:lvlText w:val="%1.%2.%3.%4.%5"/>
      <w:lvlJc w:val="left"/>
      <w:pPr>
        <w:ind w:left="2880" w:hanging="1079"/>
      </w:pPr>
      <w:rPr>
        <w:rFonts w:hint="default"/>
      </w:rPr>
    </w:lvl>
    <w:lvl w:ilvl="5">
      <w:start w:val="1"/>
      <w:numFmt w:val="decimal"/>
      <w:suff w:val="tab"/>
      <w:lvlText w:val="%1.%2.%3.%4.%5.%6"/>
      <w:lvlJc w:val="left"/>
      <w:pPr>
        <w:ind w:left="3600" w:hanging="1439"/>
      </w:pPr>
      <w:rPr>
        <w:rFonts w:hint="default"/>
      </w:rPr>
    </w:lvl>
    <w:lvl w:ilvl="6">
      <w:start w:val="1"/>
      <w:numFmt w:val="decimal"/>
      <w:suff w:val="tab"/>
      <w:lvlText w:val="%1.%2.%3.%4.%5.%6.%7"/>
      <w:lvlJc w:val="left"/>
      <w:pPr>
        <w:ind w:left="3960" w:hanging="1439"/>
      </w:pPr>
      <w:rPr>
        <w:rFonts w:hint="default"/>
      </w:rPr>
    </w:lvl>
    <w:lvl w:ilvl="7">
      <w:start w:val="1"/>
      <w:numFmt w:val="decimal"/>
      <w:suff w:val="tab"/>
      <w:lvlText w:val="%1.%2.%3.%4.%5.%6.%7.%8"/>
      <w:lvlJc w:val="left"/>
      <w:pPr>
        <w:ind w:left="4680" w:hanging="1799"/>
      </w:pPr>
      <w:rPr>
        <w:rFonts w:hint="default"/>
      </w:rPr>
    </w:lvl>
    <w:lvl w:ilvl="8">
      <w:start w:val="1"/>
      <w:numFmt w:val="decimal"/>
      <w:suff w:val="tab"/>
      <w:lvlText w:val="%1.%2.%3.%4.%5.%6.%7.%8.%9"/>
      <w:lvlJc w:val="left"/>
      <w:pPr>
        <w:ind w:left="5400" w:hanging="2159"/>
      </w:pPr>
      <w:rPr>
        <w:rFonts w:hint="default"/>
      </w:rPr>
    </w:lvl>
  </w:abstractNum>
  <w:abstractNum w:abstractNumId="1">
    <w:multiLevelType w:val="hybridMultilevel"/>
    <w:lvl w:ilvl="0">
      <w:start w:val="2"/>
      <w:numFmt w:val="decimal"/>
      <w:suff w:val="tab"/>
      <w:lvlText w:val="%1."/>
      <w:lvlJc w:val="left"/>
      <w:pPr>
        <w:ind w:left="720" w:hanging="359"/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ind w:left="1440" w:hanging="359"/>
      </w:pPr>
    </w:lvl>
    <w:lvl w:ilvl="2">
      <w:start w:val="1"/>
      <w:numFmt w:val="lowerRoman"/>
      <w:suff w:val="tab"/>
      <w:lvlText w:val="%3."/>
      <w:lvlJc w:val="right"/>
      <w:pPr>
        <w:ind w:left="2160" w:hanging="179"/>
      </w:pPr>
    </w:lvl>
    <w:lvl w:ilvl="3">
      <w:start w:val="1"/>
      <w:numFmt w:val="decimal"/>
      <w:suff w:val="tab"/>
      <w:lvlText w:val="%4."/>
      <w:lvlJc w:val="left"/>
      <w:pPr>
        <w:ind w:left="2880" w:hanging="359"/>
      </w:pPr>
    </w:lvl>
    <w:lvl w:ilvl="4">
      <w:start w:val="1"/>
      <w:numFmt w:val="lowerLetter"/>
      <w:suff w:val="tab"/>
      <w:lvlText w:val="%5."/>
      <w:lvlJc w:val="left"/>
      <w:pPr>
        <w:ind w:left="3600" w:hanging="359"/>
      </w:pPr>
    </w:lvl>
    <w:lvl w:ilvl="5">
      <w:start w:val="1"/>
      <w:numFmt w:val="lowerRoman"/>
      <w:suff w:val="tab"/>
      <w:lvlText w:val="%6."/>
      <w:lvlJc w:val="right"/>
      <w:pPr>
        <w:ind w:left="4320" w:hanging="179"/>
      </w:pPr>
    </w:lvl>
    <w:lvl w:ilvl="6">
      <w:start w:val="1"/>
      <w:numFmt w:val="decimal"/>
      <w:suff w:val="tab"/>
      <w:lvlText w:val="%7."/>
      <w:lvlJc w:val="left"/>
      <w:pPr>
        <w:ind w:left="5040" w:hanging="359"/>
      </w:pPr>
    </w:lvl>
    <w:lvl w:ilvl="7">
      <w:start w:val="1"/>
      <w:numFmt w:val="lowerLetter"/>
      <w:suff w:val="tab"/>
      <w:lvlText w:val="%8."/>
      <w:lvlJc w:val="left"/>
      <w:pPr>
        <w:ind w:left="5760" w:hanging="359"/>
      </w:pPr>
    </w:lvl>
    <w:lvl w:ilvl="8">
      <w:start w:val="1"/>
      <w:numFmt w:val="lowerRoman"/>
      <w:suff w:val="tab"/>
      <w:lvlText w:val="%9."/>
      <w:lvlJc w:val="right"/>
      <w:pPr>
        <w:ind w:left="6480" w:hanging="179"/>
      </w:pPr>
    </w:lvl>
  </w:abstractNum>
  <w:abstractNum w:abstractNumId="2">
    <w:multiLevelType w:val="hybridMultilevel"/>
    <w:lvl w:ilvl="0">
      <w:start w:val="15"/>
      <w:numFmt w:val="bullet"/>
      <w:suff w:val="tab"/>
      <w:lvlText w:val="-"/>
      <w:lvlJc w:val="left"/>
      <w:pPr>
        <w:ind w:left="1069" w:hanging="359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suff w:val="tab"/>
      <w:lvlText w:val="o"/>
      <w:lvlJc w:val="left"/>
      <w:pPr>
        <w:ind w:left="1789" w:hanging="359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ind w:left="2509" w:hanging="359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lvlJc w:val="left"/>
      <w:pPr>
        <w:ind w:left="3229" w:hanging="359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lvlJc w:val="left"/>
      <w:pPr>
        <w:ind w:left="3949" w:hanging="359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ind w:left="4669" w:hanging="359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lvlJc w:val="left"/>
      <w:pPr>
        <w:ind w:left="5389" w:hanging="359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lvlJc w:val="left"/>
      <w:pPr>
        <w:ind w:left="6109" w:hanging="359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ind w:left="6829" w:hanging="359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zoom w:percent="1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color w:val="auto"/>
        <w:spacing w:val="0"/>
        <w:position w:val="0"/>
        <w:sz w:val="22"/>
        <w:szCs w:val="22"/>
        <w:lang w:val="uk-UA" w:bidi="ar-SA" w:eastAsia="en-US"/>
      </w:rPr>
    </w:rPrDefault>
    <w:pPrDefault>
      <w:pPr>
        <w:ind w:left="0" w:right="0" w:hanging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166"/>
    <w:next w:val="166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167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166"/>
    <w:next w:val="166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167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166"/>
    <w:next w:val="166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167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166"/>
    <w:next w:val="166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167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166"/>
    <w:next w:val="166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167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166"/>
    <w:next w:val="166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167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166"/>
    <w:next w:val="166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167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166"/>
    <w:next w:val="166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167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166"/>
    <w:next w:val="166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167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166"/>
    <w:next w:val="166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167"/>
    <w:link w:val="32"/>
    <w:uiPriority w:val="10"/>
    <w:rPr>
      <w:sz w:val="48"/>
      <w:szCs w:val="48"/>
    </w:rPr>
  </w:style>
  <w:style w:type="paragraph" w:styleId="34">
    <w:name w:val="Subtitle"/>
    <w:basedOn w:val="166"/>
    <w:next w:val="166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167"/>
    <w:link w:val="34"/>
    <w:uiPriority w:val="11"/>
    <w:rPr>
      <w:sz w:val="24"/>
      <w:szCs w:val="24"/>
    </w:rPr>
  </w:style>
  <w:style w:type="paragraph" w:styleId="36">
    <w:name w:val="Quote"/>
    <w:basedOn w:val="166"/>
    <w:next w:val="166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166"/>
    <w:next w:val="166"/>
    <w:link w:val="39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166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167"/>
    <w:link w:val="40"/>
    <w:uiPriority w:val="99"/>
  </w:style>
  <w:style w:type="paragraph" w:styleId="42">
    <w:name w:val="Footer"/>
    <w:basedOn w:val="166"/>
    <w:link w:val="4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167"/>
    <w:link w:val="42"/>
    <w:uiPriority w:val="99"/>
  </w:style>
  <w:style w:type="table" w:styleId="44">
    <w:name w:val="Table Grid"/>
    <w:basedOn w:val="168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5">
    <w:name w:val="Lined"/>
    <w:basedOn w:val="16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46">
    <w:name w:val="Lined - Accent 1"/>
    <w:basedOn w:val="16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47">
    <w:name w:val="Lined - Accent 2"/>
    <w:basedOn w:val="16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48">
    <w:name w:val="Lined - Accent 3"/>
    <w:basedOn w:val="16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49">
    <w:name w:val="Lined - Accent 4"/>
    <w:basedOn w:val="16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0">
    <w:name w:val="Lined - Accent 5"/>
    <w:basedOn w:val="16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1">
    <w:name w:val="Lined - Accent 6"/>
    <w:basedOn w:val="16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52">
    <w:name w:val="Bordered"/>
    <w:basedOn w:val="1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53">
    <w:name w:val="Bordered - Accent 1"/>
    <w:basedOn w:val="1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54">
    <w:name w:val="Bordered - Accent 2"/>
    <w:basedOn w:val="1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55">
    <w:name w:val="Bordered - Accent 3"/>
    <w:basedOn w:val="1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56">
    <w:name w:val="Bordered - Accent 4"/>
    <w:basedOn w:val="1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57">
    <w:name w:val="Bordered - Accent 5"/>
    <w:basedOn w:val="1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58">
    <w:name w:val="Bordered - Accent 6"/>
    <w:basedOn w:val="1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59">
    <w:name w:val="Bordered &amp; Lined"/>
    <w:basedOn w:val="16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60">
    <w:name w:val="Bordered &amp; Lined - Accent 1"/>
    <w:basedOn w:val="16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61">
    <w:name w:val="Bordered &amp; Lined - Accent 2"/>
    <w:basedOn w:val="16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62">
    <w:name w:val="Bordered &amp; Lined - Accent 3"/>
    <w:basedOn w:val="16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63">
    <w:name w:val="Bordered &amp; Lined - Accent 4"/>
    <w:basedOn w:val="16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64">
    <w:name w:val="Bordered &amp; Lined - Accent 5"/>
    <w:basedOn w:val="16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65">
    <w:name w:val="Bordered &amp; Lined - Accent 6"/>
    <w:basedOn w:val="16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66">
    <w:name w:val="Hyperlink"/>
    <w:uiPriority w:val="99"/>
    <w:unhideWhenUsed/>
    <w:rPr>
      <w:color w:val="0000FF" w:themeColor="hyperlink"/>
      <w:u w:val="single"/>
    </w:rPr>
  </w:style>
  <w:style w:type="paragraph" w:styleId="67">
    <w:name w:val="footnote text"/>
    <w:basedOn w:val="166"/>
    <w:link w:val="68"/>
    <w:uiPriority w:val="99"/>
    <w:semiHidden/>
    <w:unhideWhenUsed/>
    <w:rPr>
      <w:sz w:val="18"/>
    </w:rPr>
    <w:pPr>
      <w:spacing w:lineRule="auto" w:line="240" w:after="40"/>
    </w:pPr>
  </w:style>
  <w:style w:type="character" w:styleId="68">
    <w:name w:val="Footnote Text Char"/>
    <w:link w:val="67"/>
    <w:uiPriority w:val="99"/>
    <w:rPr>
      <w:sz w:val="18"/>
    </w:rPr>
  </w:style>
  <w:style w:type="character" w:styleId="69">
    <w:name w:val="footnote reference"/>
    <w:basedOn w:val="167"/>
    <w:uiPriority w:val="99"/>
    <w:unhideWhenUsed/>
    <w:rPr>
      <w:vertAlign w:val="superscript"/>
    </w:rPr>
  </w:style>
  <w:style w:type="paragraph" w:styleId="70">
    <w:name w:val="toc 1"/>
    <w:basedOn w:val="166"/>
    <w:next w:val="166"/>
    <w:uiPriority w:val="39"/>
    <w:unhideWhenUsed/>
    <w:pPr>
      <w:ind w:left="0" w:right="0" w:hanging="0"/>
      <w:spacing w:after="57"/>
    </w:pPr>
  </w:style>
  <w:style w:type="paragraph" w:styleId="71">
    <w:name w:val="toc 2"/>
    <w:basedOn w:val="166"/>
    <w:next w:val="166"/>
    <w:uiPriority w:val="39"/>
    <w:unhideWhenUsed/>
    <w:pPr>
      <w:ind w:left="283" w:right="0" w:hanging="0"/>
      <w:spacing w:after="57"/>
    </w:pPr>
  </w:style>
  <w:style w:type="paragraph" w:styleId="72">
    <w:name w:val="toc 3"/>
    <w:basedOn w:val="166"/>
    <w:next w:val="166"/>
    <w:uiPriority w:val="39"/>
    <w:unhideWhenUsed/>
    <w:pPr>
      <w:ind w:left="567" w:right="0" w:hanging="0"/>
      <w:spacing w:after="57"/>
    </w:pPr>
  </w:style>
  <w:style w:type="paragraph" w:styleId="73">
    <w:name w:val="toc 4"/>
    <w:basedOn w:val="166"/>
    <w:next w:val="166"/>
    <w:uiPriority w:val="39"/>
    <w:unhideWhenUsed/>
    <w:pPr>
      <w:ind w:left="850" w:right="0" w:hanging="0"/>
      <w:spacing w:after="57"/>
    </w:pPr>
  </w:style>
  <w:style w:type="paragraph" w:styleId="74">
    <w:name w:val="toc 5"/>
    <w:basedOn w:val="166"/>
    <w:next w:val="166"/>
    <w:uiPriority w:val="39"/>
    <w:unhideWhenUsed/>
    <w:pPr>
      <w:ind w:left="1134" w:right="0" w:hanging="0"/>
      <w:spacing w:after="57"/>
    </w:pPr>
  </w:style>
  <w:style w:type="paragraph" w:styleId="75">
    <w:name w:val="toc 6"/>
    <w:basedOn w:val="166"/>
    <w:next w:val="166"/>
    <w:uiPriority w:val="39"/>
    <w:unhideWhenUsed/>
    <w:pPr>
      <w:ind w:left="1417" w:right="0" w:hanging="0"/>
      <w:spacing w:after="57"/>
    </w:pPr>
  </w:style>
  <w:style w:type="paragraph" w:styleId="76">
    <w:name w:val="toc 7"/>
    <w:basedOn w:val="166"/>
    <w:next w:val="166"/>
    <w:uiPriority w:val="39"/>
    <w:unhideWhenUsed/>
    <w:pPr>
      <w:ind w:left="1701" w:right="0" w:hanging="0"/>
      <w:spacing w:after="57"/>
    </w:pPr>
  </w:style>
  <w:style w:type="paragraph" w:styleId="77">
    <w:name w:val="toc 8"/>
    <w:basedOn w:val="166"/>
    <w:next w:val="166"/>
    <w:uiPriority w:val="39"/>
    <w:unhideWhenUsed/>
    <w:pPr>
      <w:ind w:left="1984" w:right="0" w:hanging="0"/>
      <w:spacing w:after="57"/>
    </w:pPr>
  </w:style>
  <w:style w:type="paragraph" w:styleId="78">
    <w:name w:val="toc 9"/>
    <w:basedOn w:val="166"/>
    <w:next w:val="166"/>
    <w:uiPriority w:val="39"/>
    <w:unhideWhenUsed/>
    <w:pPr>
      <w:ind w:left="2268" w:right="0" w:hanging="0"/>
      <w:spacing w:after="57"/>
    </w:pPr>
  </w:style>
  <w:style w:type="paragraph" w:styleId="79">
    <w:name w:val="TOC Heading"/>
    <w:uiPriority w:val="39"/>
    <w:unhideWhenUsed/>
  </w:style>
  <w:style w:type="paragraph" w:styleId="166" w:default="1">
    <w:name w:val="Normal"/>
    <w:qFormat/>
    <w:rPr>
      <w:rFonts w:ascii="Calibri" w:hAnsi="Calibri" w:cs="Times New Roman" w:eastAsia="Calibri"/>
    </w:rPr>
  </w:style>
  <w:style w:type="character" w:styleId="167" w:default="1">
    <w:name w:val="Default Paragraph Font"/>
    <w:uiPriority w:val="1"/>
    <w:unhideWhenUsed/>
  </w:style>
  <w:style w:type="table" w:styleId="16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169" w:default="1">
    <w:name w:val="No List"/>
    <w:uiPriority w:val="99"/>
    <w:semiHidden/>
    <w:unhideWhenUsed/>
  </w:style>
  <w:style w:type="paragraph" w:styleId="170" w:customStyle="1">
    <w:name w:val="Normalny1"/>
    <w:rPr>
      <w:rFonts w:ascii="Arial" w:hAnsi="Arial" w:cs="Arial" w:eastAsia="Times New Roman"/>
      <w:color w:val="000000"/>
      <w:lang w:val="pl-PL" w:eastAsia="pl-PL"/>
    </w:rPr>
    <w:pPr>
      <w:spacing w:lineRule="auto" w:line="276" w:after="0"/>
    </w:pPr>
  </w:style>
  <w:style w:type="paragraph" w:styleId="171">
    <w:name w:val="Body Text 3"/>
    <w:basedOn w:val="166"/>
    <w:link w:val="172"/>
    <w:uiPriority w:val="99"/>
    <w:unhideWhenUsed/>
    <w:rPr>
      <w:rFonts w:ascii="Calibri" w:hAnsi="Calibri" w:cs="Calibri" w:eastAsia="Calibri"/>
      <w:sz w:val="16"/>
      <w:szCs w:val="16"/>
      <w:lang w:val="ru-RU" w:eastAsia="ru-RU"/>
    </w:rPr>
    <w:pPr>
      <w:spacing w:lineRule="auto" w:line="276" w:after="120"/>
    </w:pPr>
  </w:style>
  <w:style w:type="character" w:styleId="172" w:customStyle="1">
    <w:name w:val="Основной текст 3 Знак"/>
    <w:basedOn w:val="167"/>
    <w:link w:val="171"/>
    <w:uiPriority w:val="99"/>
    <w:rPr>
      <w:rFonts w:eastAsia="Calibri"/>
      <w:sz w:val="16"/>
      <w:szCs w:val="16"/>
      <w:lang w:val="ru-RU" w:eastAsia="ru-RU"/>
    </w:rPr>
  </w:style>
  <w:style w:type="paragraph" w:styleId="173">
    <w:name w:val="List Paragraph"/>
    <w:basedOn w:val="166"/>
    <w:qFormat/>
    <w:uiPriority w:val="34"/>
    <w:pPr>
      <w:contextualSpacing w:val="true"/>
      <w:ind w:left="720"/>
    </w:pPr>
  </w:style>
  <w:style w:type="paragraph" w:styleId="174">
    <w:name w:val="Normal (Web)"/>
    <w:basedOn w:val="166"/>
    <w:uiPriority w:val="99"/>
    <w:semiHidden/>
    <w:unhideWhenUsed/>
    <w:rPr>
      <w:rFonts w:ascii="Times New Roman" w:hAnsi="Times New Roman"/>
      <w:sz w:val="24"/>
      <w:szCs w:val="24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wmf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ONLYOFFICE/5.2.8.24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</cp:coreProperties>
</file>