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4977" cy="88578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34977" cy="88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.0pt;height:69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ВИКОНАВЧИЙ КОМІТЕТ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center"/>
        <w:spacing w:lineRule="auto" w:line="240" w:after="283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ПРОЕКТ 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tabs>
          <w:tab w:val="left" w:pos="4394" w:leader="none"/>
          <w:tab w:val="left" w:pos="836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14 листопада 2019 року</w:t>
        <w:tab/>
        <w:t xml:space="preserve">м. Мена</w:t>
        <w:tab/>
        <w:t xml:space="preserve">№___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103" w:hanging="0"/>
        <w:jc w:val="both"/>
        <w:spacing w:lineRule="auto" w:line="240" w:after="6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4960" w:hanging="0"/>
        <w:spacing w:lineRule="auto" w:line="240" w:after="6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1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Заслухавши інформацію секретаря Менської міської ради Ю.В.Стальниченко про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зміцнення зв’язків між населеними пунктами Менської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об’єднаної територіальної громади та громадами-партнерами, вивчення досвіду діяльності органів місцевого самоврядування різних країн, розвитку співпраці у різних сферах життєдіяльності органів місцевого самоврядування,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керуючись ст.52 Закону України «Про місцеве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самоврядування в Україні», виконавчий комітет Менської міської ради,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both"/>
        <w:spacing w:lineRule="auto" w:line="240" w:after="0" w:before="12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ВИРІ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ШИВ: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огодити “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 розвитку міжнародного співробітництва та партнерства Менської міської об’єднаної територіальної громади Чернігівської області на 2020-2022 роки” (далі – Програма) згідно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 додатком до даного рішення.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Подати на сесію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Менської міської ради дану Програму для розгляду та затвердження.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Контроль за виконанням даного рішення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покласти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 заступника міського голов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и з питань д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іяльності виконкому М.В.Гайдукевича.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/>
        <w:shd w:val="nil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br w:type="page"/>
      </w:r>
      <w:r/>
    </w:p>
    <w:p>
      <w:pPr>
        <w:ind w:left="5954" w:right="0" w:hanging="0"/>
        <w:spacing w:lineRule="auto" w:line="240" w:after="0" w:before="0"/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</w: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Додаток до проекту рішення виконавчого комітету Менської міської ради від 14.11.2019 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«Про затвердження 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роки» </w:t>
      </w:r>
      <w:r>
        <w:rPr>
          <w:sz w:val="18"/>
        </w:rPr>
      </w:r>
      <w:r/>
    </w:p>
    <w:p>
      <w:pPr>
        <w:ind w:left="0" w:right="0" w:hanging="0"/>
        <w:jc w:val="righ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 розвитку міжнародного співробітництва та партнерства Менської міської об’єднаної територіальної громади Чернігівської області на 2020-2022 роки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розвитку міжнародного співробітництва та партнерства Менської міської об’єднаної територіальної громади Чернігівської області на 2020-2022 роки (далі – Програма) розроблена відповідно до Конституції України та Закону України „Про місцеве самовряду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 в Україні”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Вступ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Малі міста займають особливе місце в історичному розвитку держави, в яких розвивались національна культура та духовність. Проте спад виробництва, економічна дестабілізація суттєво послабили соціально-економічну та фінансову бази малих міст.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налагодження взаємовигідних ділових контактів, а також розвитку зв’язків Менської міської об’єднаної територіальної громади (далі- громада) з містами, громадами та регіонами інших країн, для більш повного розкриття його економічного, науково-техніч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ного та культурного потенціалу в контексті євроінтеграції держави, вважається за доцільне розвивати побратимські відносини Менської міської об’єднаної територіальної громади з іноземними містами/громадами.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 здійснює зовнішні відносини в межах повноважень, передбачених Конституцією та законами України, відповідно зовнішньополітичного курсу та зовнішньоекономічної політики України.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Визначення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проблем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, на розв’язання яких спрямована Програма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Прийняття цієї Програми обумовлено необхідністю створення цілісної ефективної системи співробітництва з іноземними регіонами, яка відкриває нові перспективи для послідовного налагодження дружніх відносин та забезпечення належного, цілеспрямованого та стабі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льного виконання регіональної складової загальнонаціонального курсу України на євроінтеграцію, а також формування позитивного міжнародного іміджу міста, яке має забезпечити створення у світі сприятливого інформаційного простору для політичного та соціально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-економічного розвитку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Позитивне сприйняття Менської міської об’єднаної територіальної громади та її населених пунктів з іноземними регіонами та містами/громадами є фактором, який безпосередньо впливає на розвиток нашої громади і сприяє задоволенню його зовнішньополітичних та зо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внішньо-економічних потреб, розв'язанню внутрішніх соціально-економічних проблем. Формування позитивного міжнародного іміджу громади є необхідним для забезпечення захисту його стратегічних інтересів, дотримання стратегічного курсу на євроінтеграцію, успішн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конкурентної боротьби на міжнародних ринках.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Використання міжнародного міжрегіонального співробітництва є найдієвішими інструментами соціально-економічного розвитку громади, а також вирішення актуальних проблем.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подолання причин, що стримують подальшу інтенсифікацію міжнародної співпраці, процес формування позитивного міжнародного іміджу Менської міської об’єднаної територіальної громади та населених пунктів Менської міської об’єднаної територіальної громади,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їх розв’язання необхідне розроблення та прийняття відповідної Програми. Прийняття цієї Програми спрямовано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hanging="0"/>
        <w:jc w:val="both"/>
        <w:spacing w:lineRule="auto" w:line="240" w:after="0" w:before="0"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формування позитивного міжнародного іміджу Менської міської об’єднаної територіальної громади та населених пунктів Менської міської об’єднаної територіальної громади, яке має забезпечити створення відповідного інформаційного простору, сприятливого для підв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ищення ефективності співробітництва та зростання надходження іноземних інвестицій в економіку громади та регіону;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hanging="0"/>
        <w:jc w:val="both"/>
        <w:spacing w:lineRule="auto" w:line="240" w:after="0" w:before="0"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роз’яснення перспектив європейської інтеграції України та її механізмів, формування широкої громадської підтримки курсу України на інтеграцію до ЄС, економічних та соціальних реформ, здійснюваних в рамках реалізації євроінтеграційної політики.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Мета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програми є обмін позитивним досвідом здійснення місцевого самоврядування, громадської та підприємницької діяльності, вивчення історії, національно-культурної самобутності і економічної особливостей країн, регіонів, використання інтелектуального, діло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вого та духовного потенціалу, зміцнення зв’язків між громадами-партнерами.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 складено з метою відродження практики співпраці Менської міської ради з громадами-партнерами, або міжнародними організаціями, фондами, шляхом активізації роботи по пошуку таких партнерів, підписання відповідних Договорів про налагодження партнерсь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ких контактів та співпраці (далі – Договір) та з метою налагодження нових контактів і поглиблення взаємовідносин.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Шляхи 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способи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розв’язання проблеми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має стати дієвим інструментом реалізації державної та місцевої політики у сфері розвитку європейської інтеграції, покращення міжнародного іміджу, поглиблення співробітництва з іноземними громадами-партнерами та налагодження нових взаємно корисних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зв’язків.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Мети Програми передбачається досягти шляхом активізації міжнародного співробітництва у галузях економіки, інвестиційної діяльності, освіти, культури, туризму, інших сферах суспільного життя, завдяки реалізації заходів Програми та проведенню виваженої місце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вої зовнішньої політики, а також участі керівництва громади, підпорядкованих відділів, підприємств, установ, організацій у різноманітних міжнародних виставках, конференціях, семінарах, проведення в місті Мена та населених пунктах громади аналогічних заході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в, обмін робочими та офіційними делегаціями, випуску інформаційних, презентаційних матеріалів про громаду, налагодження співпраці з іноземними партнерами тощо.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Покращення інформування населення про міжнародну діяльність Менської міської об’єднаної територіальної громади планується здійснювати за допомогою публікацій на офіційному сайті міської ради та співпраці з місцевими ЗМІ, встановлення інформативних стендів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території населених пунктів громади та у культурно-освітніх закладах, робота з молоддю.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та напрямки діяльності Програми: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обмін офіційними делегаціями;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</w:t>
      </w:r>
      <w:r>
        <w:rPr>
          <w:rFonts w:ascii="Times New Roman" w:hAnsi="Times New Roman" w:cs="Times New Roman" w:eastAsia="Times New Roman"/>
          <w:sz w:val="28"/>
        </w:rPr>
        <w:t xml:space="preserve">лізація спільних проектів;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зміцнення співпраці між органами місцевого самоврядування;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залучення іноземних інвестицій, новітніх технологій та використання прогресивного іноземного управлінського досвіду;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налагодження контактів між громадськими організаціями, активізація їх співпраці;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формування позитивного міжнародного іміджу про Україну та про нашу громаду;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створення спільних програм і проектів у сфері культури, освіти, підприємництва, житлово-комунального господарства, туризму, охорони здоров’я та спорту;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налагодження і розширення безпосередніх контактів між мешканцями;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обмін учнівськими та молодіжними делегаціями;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проведення культурно-мистецьких обмінів;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інтегрування учнів у партнерські школи, позашкільні організації та сім’ї;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покращення знань іноземних мов;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обмін досвідом у боротьбі з соціальними проблемами (наркоманія, СНІД, алкоголізм тощо);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спільне ство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рення та реалізація проектів співробітництва.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Обсяги та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джерела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фінансування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реалізації Програми здійснюватиметься за рахунок коштів бюджету громади в межах наявного фінансового ресурсу, а також з інших джерел, не заборонених законодавством.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Програмою кошти бюджету громади спрямовуються в першу чергу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right="0" w:hanging="0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сувенірної продукції та презентаційних матеріалів, які використовуватимуться при офіційних зустрічах;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right="0" w:hanging="0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державних символік та символіки громад-партнерів;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right="0" w:hanging="0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транспортні витрати необхідні для зустрічі та супроводу офіційних делегацій;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right="0" w:hanging="0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транспортних витрат пов’язаних з візитом офіційної делегації Менської міської об’єднаної територіальної громади до громад-партнерів;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right="0" w:hanging="0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матеріали для проведення міжнародних зустрічей, семінарів, презентацій, конференцій, культурно-мистецьких, спортивних заходів тощо;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right="0" w:hanging="0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проведення в населених пунктах Менської громади культурно-мистецьких, спортивних заходів, міжнародних зустрічей, семінарів, презентацій, конференцій інших масових заходів за участі офіційних делегацій громад-партнерів або інших міжнародних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артнерських організацій;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right="0" w:hanging="0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послуг проживання та харчування для представників офіційних делегацій;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right="0" w:hanging="0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інших послуг пов’язаних з перебуванням делегацій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іноземних містами/громадами та візитами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офіційної делегації Менської міської об’єднаної територіальної громади до громад-партнерів.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Обсяг фінансування заходів програми на 2020-2022 роки складає по 150 тис.грн. щорічно.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Термін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виконання Програми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діє протягом 2020-2022 року.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визначених Програмою завдань здійснюється шляхом послідовної реалізації впродовж зазначеного періоду заходів, направлених на розвиток та поглиблення євроінтеграційного та міжрегіонального співробітництва з громадами-партнерами, міжнародними орган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ізаціям та фондами, а також скоординованої та професійної інформаційно-роз’яснювальної роботи, спрямованої на формування позитивного міжнародного іміджу Менської міської об’єднаної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Внесення змін до плану заходів Програми та термінів їх виконання здійснюватиметься за необхідністю.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hanging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Очікувані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результати: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Тісні стосунки з представниками іноземних держав сприятимуть розвитку взаємовигідного ділового партнерства, а саме виконання Програми дасть змогу: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продовжити роботу з подальшого розвитку і поглиблення зв’язків з партнерами на довгостроковій основі;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налагодити нові контакти і поглибити вже встановленні взаємовідносини;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досвід діяльності і розвитку місцевого самоврядування та житлово-комунального господарства з метою впровадження кращих ідей та уникнення помилок при прийнятті певних рішень;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досвід роботи колег з громад-партнерів та впроваджувати цікаві прогресивні ідеї в нашій громаді;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рекламувати інвестиційну та туристичну привабливість нашої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пропагувати національну культуру та українські народні звичаї;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створювати оптимальні умови, необхідні для розвитку співпраці у всіх сферах життя громад-партнерів;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збільшити кількість іноземців, зокрема молоді, які відвідуватимуть нашу громаду для ознайомлення з життям її громадян і досягненнями;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Молодіжний обмін делегаціями стимулюватиме бажання учнівської молоді до більш глибокого вивчення іноземних мов, історії держав та громад, сприятиме знайомству і налагодженню безпосередніх дружніх стосунків між молоддю громад-партнерів. Молодь матиме можлив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ість презентувати нашу державу у Європі і знайомитися з культурою та історичною спадщиною інших держав, що сприятиме бажанню більше пізнавати і знати про інші країни, громади, міста, села.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</w:pPr>
    </w:lvl>
    <w:lvl w:ilvl="1">
      <w:start w:val="1"/>
      <w:numFmt w:val="lowerLetter"/>
      <w:suff w:val="tab"/>
      <w:lvlText w:val="%2."/>
      <w:lvlJc w:val="left"/>
      <w:pPr>
        <w:ind w:left="1440" w:hanging="355"/>
      </w:pPr>
    </w:lvl>
    <w:lvl w:ilvl="2">
      <w:start w:val="1"/>
      <w:numFmt w:val="lowerRoman"/>
      <w:suff w:val="tab"/>
      <w:lvlText w:val="%3."/>
      <w:lvlJc w:val="right"/>
      <w:pPr>
        <w:ind w:left="2160" w:hanging="175"/>
      </w:pPr>
    </w:lvl>
    <w:lvl w:ilvl="3">
      <w:start w:val="1"/>
      <w:numFmt w:val="decimal"/>
      <w:suff w:val="tab"/>
      <w:lvlText w:val="%4."/>
      <w:lvlJc w:val="left"/>
      <w:pPr>
        <w:ind w:left="2880" w:hanging="355"/>
      </w:pPr>
    </w:lvl>
    <w:lvl w:ilvl="4">
      <w:start w:val="1"/>
      <w:numFmt w:val="lowerLetter"/>
      <w:suff w:val="tab"/>
      <w:lvlText w:val="%5."/>
      <w:lvlJc w:val="left"/>
      <w:pPr>
        <w:ind w:left="3600" w:hanging="355"/>
      </w:pPr>
    </w:lvl>
    <w:lvl w:ilvl="5">
      <w:start w:val="1"/>
      <w:numFmt w:val="lowerRoman"/>
      <w:suff w:val="tab"/>
      <w:lvlText w:val="%6."/>
      <w:lvlJc w:val="right"/>
      <w:pPr>
        <w:ind w:left="4320" w:hanging="175"/>
      </w:pPr>
    </w:lvl>
    <w:lvl w:ilvl="6">
      <w:start w:val="1"/>
      <w:numFmt w:val="decimal"/>
      <w:suff w:val="tab"/>
      <w:lvlText w:val="%7."/>
      <w:lvlJc w:val="left"/>
      <w:pPr>
        <w:ind w:left="5040" w:hanging="355"/>
      </w:pPr>
    </w:lvl>
    <w:lvl w:ilvl="7">
      <w:start w:val="1"/>
      <w:numFmt w:val="lowerLetter"/>
      <w:suff w:val="tab"/>
      <w:lvlText w:val="%8."/>
      <w:lvlJc w:val="left"/>
      <w:pPr>
        <w:ind w:left="5760" w:hanging="355"/>
      </w:pPr>
    </w:lvl>
    <w:lvl w:ilvl="8">
      <w:start w:val="1"/>
      <w:numFmt w:val="lowerRoman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8">
    <w:name w:val="Heading 1"/>
    <w:basedOn w:val="256"/>
    <w:next w:val="256"/>
    <w:link w:val="1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9">
    <w:name w:val="Heading 1 Char"/>
    <w:basedOn w:val="257"/>
    <w:link w:val="188"/>
    <w:uiPriority w:val="9"/>
    <w:rPr>
      <w:rFonts w:ascii="Arial" w:hAnsi="Arial" w:cs="Arial" w:eastAsia="Arial"/>
      <w:sz w:val="40"/>
      <w:szCs w:val="40"/>
    </w:rPr>
  </w:style>
  <w:style w:type="paragraph" w:styleId="190">
    <w:name w:val="Heading 2"/>
    <w:basedOn w:val="256"/>
    <w:next w:val="256"/>
    <w:link w:val="1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1">
    <w:name w:val="Heading 2 Char"/>
    <w:basedOn w:val="257"/>
    <w:link w:val="190"/>
    <w:uiPriority w:val="9"/>
    <w:rPr>
      <w:rFonts w:ascii="Arial" w:hAnsi="Arial" w:cs="Arial" w:eastAsia="Arial"/>
      <w:sz w:val="34"/>
    </w:rPr>
  </w:style>
  <w:style w:type="paragraph" w:styleId="192">
    <w:name w:val="Heading 3"/>
    <w:basedOn w:val="256"/>
    <w:next w:val="256"/>
    <w:link w:val="1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3">
    <w:name w:val="Heading 3 Char"/>
    <w:basedOn w:val="257"/>
    <w:link w:val="192"/>
    <w:uiPriority w:val="9"/>
    <w:rPr>
      <w:rFonts w:ascii="Arial" w:hAnsi="Arial" w:cs="Arial" w:eastAsia="Arial"/>
      <w:sz w:val="30"/>
      <w:szCs w:val="30"/>
    </w:rPr>
  </w:style>
  <w:style w:type="paragraph" w:styleId="194">
    <w:name w:val="Heading 4"/>
    <w:basedOn w:val="256"/>
    <w:next w:val="256"/>
    <w:link w:val="1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5">
    <w:name w:val="Heading 4 Char"/>
    <w:basedOn w:val="257"/>
    <w:link w:val="194"/>
    <w:uiPriority w:val="9"/>
    <w:rPr>
      <w:rFonts w:ascii="Arial" w:hAnsi="Arial" w:cs="Arial" w:eastAsia="Arial"/>
      <w:b/>
      <w:bCs/>
      <w:sz w:val="26"/>
      <w:szCs w:val="26"/>
    </w:rPr>
  </w:style>
  <w:style w:type="paragraph" w:styleId="196">
    <w:name w:val="Heading 5"/>
    <w:basedOn w:val="256"/>
    <w:next w:val="256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7">
    <w:name w:val="Heading 5 Char"/>
    <w:basedOn w:val="257"/>
    <w:link w:val="196"/>
    <w:uiPriority w:val="9"/>
    <w:rPr>
      <w:rFonts w:ascii="Arial" w:hAnsi="Arial" w:cs="Arial" w:eastAsia="Arial"/>
      <w:b/>
      <w:bCs/>
      <w:sz w:val="24"/>
      <w:szCs w:val="24"/>
    </w:rPr>
  </w:style>
  <w:style w:type="paragraph" w:styleId="198">
    <w:name w:val="Heading 6"/>
    <w:basedOn w:val="256"/>
    <w:next w:val="256"/>
    <w:link w:val="1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9">
    <w:name w:val="Heading 6 Char"/>
    <w:basedOn w:val="257"/>
    <w:link w:val="198"/>
    <w:uiPriority w:val="9"/>
    <w:rPr>
      <w:rFonts w:ascii="Arial" w:hAnsi="Arial" w:cs="Arial" w:eastAsia="Arial"/>
      <w:b/>
      <w:bCs/>
      <w:sz w:val="22"/>
      <w:szCs w:val="22"/>
    </w:rPr>
  </w:style>
  <w:style w:type="paragraph" w:styleId="200">
    <w:name w:val="Heading 7"/>
    <w:basedOn w:val="256"/>
    <w:next w:val="256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1">
    <w:name w:val="Heading 7 Char"/>
    <w:basedOn w:val="257"/>
    <w:link w:val="2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2">
    <w:name w:val="Heading 8"/>
    <w:basedOn w:val="256"/>
    <w:next w:val="256"/>
    <w:link w:val="2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3">
    <w:name w:val="Heading 8 Char"/>
    <w:basedOn w:val="257"/>
    <w:link w:val="202"/>
    <w:uiPriority w:val="9"/>
    <w:rPr>
      <w:rFonts w:ascii="Arial" w:hAnsi="Arial" w:cs="Arial" w:eastAsia="Arial"/>
      <w:i/>
      <w:iCs/>
      <w:sz w:val="22"/>
      <w:szCs w:val="22"/>
    </w:rPr>
  </w:style>
  <w:style w:type="paragraph" w:styleId="204">
    <w:name w:val="Heading 9"/>
    <w:basedOn w:val="256"/>
    <w:next w:val="256"/>
    <w:link w:val="2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5">
    <w:name w:val="Heading 9 Char"/>
    <w:basedOn w:val="257"/>
    <w:link w:val="204"/>
    <w:uiPriority w:val="9"/>
    <w:rPr>
      <w:rFonts w:ascii="Arial" w:hAnsi="Arial" w:cs="Arial" w:eastAsia="Arial"/>
      <w:i/>
      <w:iCs/>
      <w:sz w:val="21"/>
      <w:szCs w:val="21"/>
    </w:rPr>
  </w:style>
  <w:style w:type="paragraph" w:styleId="206">
    <w:name w:val="List Paragraph"/>
    <w:basedOn w:val="256"/>
    <w:qFormat/>
    <w:uiPriority w:val="34"/>
    <w:pPr>
      <w:contextualSpacing w:val="true"/>
      <w:ind w:left="720"/>
    </w:pPr>
  </w:style>
  <w:style w:type="paragraph" w:styleId="207">
    <w:name w:val="No Spacing"/>
    <w:qFormat/>
    <w:uiPriority w:val="1"/>
    <w:pPr>
      <w:spacing w:lineRule="auto" w:line="240" w:after="0" w:before="0"/>
    </w:pPr>
  </w:style>
  <w:style w:type="paragraph" w:styleId="208">
    <w:name w:val="Title"/>
    <w:basedOn w:val="256"/>
    <w:next w:val="256"/>
    <w:link w:val="2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9">
    <w:name w:val="Title Char"/>
    <w:basedOn w:val="257"/>
    <w:link w:val="208"/>
    <w:uiPriority w:val="10"/>
    <w:rPr>
      <w:sz w:val="48"/>
      <w:szCs w:val="48"/>
    </w:rPr>
  </w:style>
  <w:style w:type="paragraph" w:styleId="210">
    <w:name w:val="Subtitle"/>
    <w:basedOn w:val="256"/>
    <w:next w:val="256"/>
    <w:link w:val="211"/>
    <w:qFormat/>
    <w:uiPriority w:val="11"/>
    <w:rPr>
      <w:sz w:val="24"/>
      <w:szCs w:val="24"/>
    </w:rPr>
    <w:pPr>
      <w:spacing w:after="200" w:before="200"/>
    </w:pPr>
  </w:style>
  <w:style w:type="character" w:styleId="211">
    <w:name w:val="Subtitle Char"/>
    <w:basedOn w:val="257"/>
    <w:link w:val="210"/>
    <w:uiPriority w:val="11"/>
    <w:rPr>
      <w:sz w:val="24"/>
      <w:szCs w:val="24"/>
    </w:rPr>
  </w:style>
  <w:style w:type="paragraph" w:styleId="212">
    <w:name w:val="Quote"/>
    <w:basedOn w:val="256"/>
    <w:next w:val="256"/>
    <w:link w:val="213"/>
    <w:qFormat/>
    <w:uiPriority w:val="29"/>
    <w:rPr>
      <w:i/>
    </w:rPr>
    <w:pPr>
      <w:ind w:left="720" w:right="720"/>
    </w:pPr>
  </w:style>
  <w:style w:type="character" w:styleId="213">
    <w:name w:val="Quote Char"/>
    <w:link w:val="212"/>
    <w:uiPriority w:val="29"/>
    <w:rPr>
      <w:i/>
    </w:rPr>
  </w:style>
  <w:style w:type="paragraph" w:styleId="214">
    <w:name w:val="Intense Quote"/>
    <w:basedOn w:val="256"/>
    <w:next w:val="256"/>
    <w:link w:val="2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5">
    <w:name w:val="Intense Quote Char"/>
    <w:link w:val="214"/>
    <w:uiPriority w:val="30"/>
    <w:rPr>
      <w:i/>
    </w:rPr>
  </w:style>
  <w:style w:type="paragraph" w:styleId="216">
    <w:name w:val="Header"/>
    <w:basedOn w:val="256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>
    <w:name w:val="Header Char"/>
    <w:basedOn w:val="257"/>
    <w:link w:val="216"/>
    <w:uiPriority w:val="99"/>
  </w:style>
  <w:style w:type="paragraph" w:styleId="218">
    <w:name w:val="Footer"/>
    <w:basedOn w:val="256"/>
    <w:link w:val="2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9">
    <w:name w:val="Footer Char"/>
    <w:basedOn w:val="257"/>
    <w:link w:val="218"/>
    <w:uiPriority w:val="99"/>
  </w:style>
  <w:style w:type="table" w:styleId="220">
    <w:name w:val="Table Grid"/>
    <w:basedOn w:val="2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1">
    <w:name w:val="Lined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2">
    <w:name w:val="Lined - Accent 1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3">
    <w:name w:val="Lined - Accent 2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4">
    <w:name w:val="Lined - Accent 3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5">
    <w:name w:val="Lined - Accent 4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6">
    <w:name w:val="Lined - Accent 5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7">
    <w:name w:val="Lined - Accent 6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8">
    <w:name w:val="Bordered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9">
    <w:name w:val="Bordered - Accent 1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0">
    <w:name w:val="Bordered - Accent 2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1">
    <w:name w:val="Bordered - Accent 3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2">
    <w:name w:val="Bordered - Accent 4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3">
    <w:name w:val="Bordered - Accent 5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4">
    <w:name w:val="Bordered - Accent 6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5">
    <w:name w:val="Bordered &amp; Lined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6">
    <w:name w:val="Bordered &amp; Lined - Accent 1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7">
    <w:name w:val="Bordered &amp; Lined - Accent 2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8">
    <w:name w:val="Bordered &amp; Lined - Accent 3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9">
    <w:name w:val="Bordered &amp; Lined - Accent 4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0">
    <w:name w:val="Bordered &amp; Lined - Accent 5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1">
    <w:name w:val="Bordered &amp; Lined - Accent 6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2">
    <w:name w:val="Hyperlink"/>
    <w:uiPriority w:val="99"/>
    <w:unhideWhenUsed/>
    <w:rPr>
      <w:color w:val="0000FF" w:themeColor="hyperlink"/>
      <w:u w:val="single"/>
    </w:rPr>
  </w:style>
  <w:style w:type="paragraph" w:styleId="243">
    <w:name w:val="footnote text"/>
    <w:basedOn w:val="256"/>
    <w:link w:val="244"/>
    <w:uiPriority w:val="99"/>
    <w:semiHidden/>
    <w:unhideWhenUsed/>
    <w:rPr>
      <w:sz w:val="18"/>
    </w:rPr>
    <w:pPr>
      <w:spacing w:lineRule="auto" w:line="240" w:after="40"/>
    </w:pPr>
  </w:style>
  <w:style w:type="character" w:styleId="244">
    <w:name w:val="Footnote Text Char"/>
    <w:link w:val="243"/>
    <w:uiPriority w:val="99"/>
    <w:rPr>
      <w:sz w:val="18"/>
    </w:rPr>
  </w:style>
  <w:style w:type="character" w:styleId="245">
    <w:name w:val="footnote reference"/>
    <w:basedOn w:val="257"/>
    <w:uiPriority w:val="99"/>
    <w:unhideWhenUsed/>
    <w:rPr>
      <w:vertAlign w:val="superscript"/>
    </w:rPr>
  </w:style>
  <w:style w:type="paragraph" w:styleId="246">
    <w:name w:val="toc 1"/>
    <w:basedOn w:val="256"/>
    <w:next w:val="256"/>
    <w:uiPriority w:val="39"/>
    <w:unhideWhenUsed/>
    <w:pPr>
      <w:ind w:left="0" w:right="0" w:hanging="0"/>
      <w:spacing w:after="57"/>
    </w:pPr>
  </w:style>
  <w:style w:type="paragraph" w:styleId="247">
    <w:name w:val="toc 2"/>
    <w:basedOn w:val="256"/>
    <w:next w:val="256"/>
    <w:uiPriority w:val="39"/>
    <w:unhideWhenUsed/>
    <w:pPr>
      <w:ind w:left="283" w:right="0" w:hanging="0"/>
      <w:spacing w:after="57"/>
    </w:pPr>
  </w:style>
  <w:style w:type="paragraph" w:styleId="248">
    <w:name w:val="toc 3"/>
    <w:basedOn w:val="256"/>
    <w:next w:val="256"/>
    <w:uiPriority w:val="39"/>
    <w:unhideWhenUsed/>
    <w:pPr>
      <w:ind w:left="567" w:right="0" w:hanging="0"/>
      <w:spacing w:after="57"/>
    </w:pPr>
  </w:style>
  <w:style w:type="paragraph" w:styleId="249">
    <w:name w:val="toc 4"/>
    <w:basedOn w:val="256"/>
    <w:next w:val="256"/>
    <w:uiPriority w:val="39"/>
    <w:unhideWhenUsed/>
    <w:pPr>
      <w:ind w:left="850" w:right="0" w:hanging="0"/>
      <w:spacing w:after="57"/>
    </w:pPr>
  </w:style>
  <w:style w:type="paragraph" w:styleId="250">
    <w:name w:val="toc 5"/>
    <w:basedOn w:val="256"/>
    <w:next w:val="256"/>
    <w:uiPriority w:val="39"/>
    <w:unhideWhenUsed/>
    <w:pPr>
      <w:ind w:left="1134" w:right="0" w:hanging="0"/>
      <w:spacing w:after="57"/>
    </w:pPr>
  </w:style>
  <w:style w:type="paragraph" w:styleId="251">
    <w:name w:val="toc 6"/>
    <w:basedOn w:val="256"/>
    <w:next w:val="256"/>
    <w:uiPriority w:val="39"/>
    <w:unhideWhenUsed/>
    <w:pPr>
      <w:ind w:left="1417" w:right="0" w:hanging="0"/>
      <w:spacing w:after="57"/>
    </w:pPr>
  </w:style>
  <w:style w:type="paragraph" w:styleId="252">
    <w:name w:val="toc 7"/>
    <w:basedOn w:val="256"/>
    <w:next w:val="256"/>
    <w:uiPriority w:val="39"/>
    <w:unhideWhenUsed/>
    <w:pPr>
      <w:ind w:left="1701" w:right="0" w:hanging="0"/>
      <w:spacing w:after="57"/>
    </w:pPr>
  </w:style>
  <w:style w:type="paragraph" w:styleId="253">
    <w:name w:val="toc 8"/>
    <w:basedOn w:val="256"/>
    <w:next w:val="256"/>
    <w:uiPriority w:val="39"/>
    <w:unhideWhenUsed/>
    <w:pPr>
      <w:ind w:left="1984" w:right="0" w:hanging="0"/>
      <w:spacing w:after="57"/>
    </w:pPr>
  </w:style>
  <w:style w:type="paragraph" w:styleId="254">
    <w:name w:val="toc 9"/>
    <w:basedOn w:val="256"/>
    <w:next w:val="256"/>
    <w:uiPriority w:val="39"/>
    <w:unhideWhenUsed/>
    <w:pPr>
      <w:ind w:left="2268" w:right="0" w:hanging="0"/>
      <w:spacing w:after="57"/>
    </w:pPr>
  </w:style>
  <w:style w:type="paragraph" w:styleId="255">
    <w:name w:val="TOC Heading"/>
    <w:uiPriority w:val="39"/>
    <w:unhideWhenUsed/>
  </w:style>
  <w:style w:type="paragraph" w:styleId="256" w:default="1">
    <w:name w:val="Normal"/>
    <w:qFormat/>
  </w:style>
  <w:style w:type="character" w:styleId="257" w:default="1">
    <w:name w:val="Default Paragraph Font"/>
    <w:uiPriority w:val="1"/>
    <w:semiHidden/>
    <w:unhideWhenUsed/>
  </w:style>
  <w:style w:type="table" w:styleId="2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