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bookmarkStart w:id="0" w:name="_GoBack"/>
      <w:r>
        <w:rPr>
          <w:rFonts w:ascii="Times New Roman" w:hAnsi="Times New Roman" w:cs="Times New Roman" w:eastAsia="Times New Roman"/>
          <w:lang w:val="uk-UA"/>
        </w:rPr>
      </w:r>
      <w:bookmarkEnd w:id="0"/>
      <w:r>
        <w:rPr>
          <w:rFonts w:ascii="Times New Roman" w:hAnsi="Times New Roman" w:cs="Times New Roman" w:eastAsia="Times New Roman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4977" cy="88579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34977" cy="885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.0pt;height:69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ВИКОНАВЧИЙ КОМІТЕТ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lang w:val="uk-UA"/>
        </w:rPr>
      </w:r>
    </w:p>
    <w:p>
      <w:pPr>
        <w:ind w:left="0" w:right="0" w:hanging="0"/>
        <w:jc w:val="center"/>
        <w:spacing w:lineRule="auto" w:line="240" w:after="283" w:afterAutospacing="0" w:before="0"/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ПРОЕКТ РІШЕННЯ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lang w:val="uk-UA"/>
        </w:rPr>
      </w:r>
    </w:p>
    <w:p>
      <w:pPr>
        <w:ind w:left="0" w:right="0" w:hanging="0"/>
        <w:jc w:val="left"/>
        <w:spacing w:lineRule="auto" w:line="240" w:after="0" w:before="0"/>
        <w:tabs>
          <w:tab w:val="left" w:pos="4394" w:leader="none"/>
          <w:tab w:val="left" w:pos="8362" w:leader="none"/>
        </w:tabs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14 листопада 2019 року</w:t>
        <w:tab/>
        <w:t xml:space="preserve">м. Мена</w:t>
        <w:tab/>
        <w:t xml:space="preserve">№___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lang w:val="uk-UA"/>
        </w:rPr>
      </w:r>
    </w:p>
    <w:p>
      <w:pPr>
        <w:ind w:left="0" w:right="4960" w:hanging="0"/>
        <w:jc w:val="both"/>
        <w:spacing w:lineRule="auto" w:line="240" w:after="283" w:afterAutospacing="0" w:before="24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 погодження 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851"/>
        <w:jc w:val="both"/>
        <w:spacing w:lineRule="auto" w:line="240" w:after="0" w:before="0"/>
        <w:tabs>
          <w:tab w:val="left" w:pos="567" w:leader="none"/>
        </w:tabs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Заслухавши інформацію заступника міського голови з питань діяльності виконкому Менської міської ради М.В.Гайдукевича про постійні численні звернення жителів громади та керівників підпорядкованих Менській міській раді установ та організацій з приводу видален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ня аварійних, сухостійних дерев на території населених пунктів Менської ОТГ, створення загрози життю та майну громадян та комунального майна, з метою забезпечення безпеки для життя, здоров’я та майна людей, збереження майна громади, зап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обігання аварійним відключення повітряних ліній електропередач, ліній зв’язку, інших комунікацій та виникненням інших аварійних ситуацій, пов’язаних з падінням аварійних дерев на території громади, керуючись ст.52 Закону України «Про місцеве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самоврядування в Україні», виконавчий комітет Менської міської ради,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jc w:val="both"/>
        <w:spacing w:lineRule="auto" w:line="240" w:after="0" w:before="120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ВИРІ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ШИВ: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огодити “Програму видалення аварійних та небезпечних дерев на території населених пунктів Менської об’єднаної територіальної громади на 2020-2022 роки” згідно з додатком 1 до даного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Подати на сесі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ю Менської міської ради дану Програму для розгляду та затвердження.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numPr>
          <w:ilvl w:val="0"/>
          <w:numId w:val="1"/>
        </w:numPr>
        <w:ind w:left="0" w:right="0" w:hanging="0"/>
        <w:jc w:val="both"/>
        <w:spacing w:lineRule="auto" w:line="240" w:after="0" w:before="0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за виконанням даного рішення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покласти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на заступника міського голови з питань 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іяльності виконкому М.В.Гайдуке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вича.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ind w:left="120" w:right="120" w:hanging="0"/>
        <w:spacing w:lineRule="auto" w:line="240" w:after="120" w:before="12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  <w:br w:type="page"/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5954" w:right="0" w:hanging="0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  <w:lang w:val="uk-UA"/>
        </w:rPr>
        <w:t xml:space="preserve">Додаток до проекту рішення виконавчого комітету Менської міської ради від 14.11.2019 «Про погодження 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  <w:r>
        <w:rPr>
          <w:rFonts w:ascii="Times New Roman" w:hAnsi="Times New Roman" w:cs="Times New Roman" w:eastAsia="Times New Roman"/>
          <w:color w:val="000000"/>
          <w:sz w:val="18"/>
          <w:lang w:val="uk-UA"/>
        </w:rPr>
        <w:t xml:space="preserve">»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jc w:val="center"/>
        <w:spacing w:lineRule="auto" w:line="240" w:after="0" w:before="283" w:beforeAutospacing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ПРОГРАМА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jc w:val="center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видалення аварійних та небезпечних дерев на території Менської об’єднаної територіальної громади на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2020-2022 роки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lang w:val="uk-UA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ЗАГАЛЬНІ ПОЛОЖЕННЯ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lang w:val="uk-UA"/>
        </w:rPr>
        <w:t xml:space="preserve">Благоустрій населених пунктів –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очищення, зниження рівн</w:t>
      </w:r>
      <w:r>
        <w:rPr>
          <w:rFonts w:ascii="Times New Roman" w:hAnsi="Times New Roman" w:cs="Times New Roman" w:eastAsia="Times New Roman"/>
          <w:color w:val="000000"/>
          <w:spacing w:val="0"/>
          <w:sz w:val="28"/>
          <w:lang w:val="uk-UA"/>
        </w:rPr>
        <w:t xml:space="preserve">я шуму та інше, що здійснюються на території населеного пункту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pacing w:val="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0"/>
          <w:sz w:val="28"/>
          <w:lang w:val="uk-UA"/>
        </w:rPr>
        <w:t xml:space="preserve">Бла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гоустрою насе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лених пунктів та зеленим насадженням в нашій державі приділяється 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значна роль. 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</w:r>
      <w:r>
        <w:rPr>
          <w:lang w:val="uk-UA"/>
        </w:rPr>
      </w:r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pacing w:val="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На сьогоднішній день проблема видалення аварійних, сухостійних, дерев та дерев, які досягли вікової межі насаджень 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агального користування на території громади ста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є актуальною. 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</w:r>
      <w:r>
        <w:rPr>
          <w:lang w:val="uk-UA"/>
        </w:rPr>
      </w:r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pacing w:val="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Таким чином, реалізація «Програми з видалення аварійних та перерослих дерев на території населених пунктів Менської об’єднаної територіальної громади на 2020-2022 рр.» (далі – Програма) є одним з головних напрямків її розвитку, з огляду на масштаб передбач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уваних робіт і необхідність встановлення нормативно-правових основ діяльності всього комплексу природних і озеленених територій населених пунктів громади в цілому.</w:t>
      </w:r>
      <w:r>
        <w:rPr>
          <w:rFonts w:ascii="Times New Roman" w:hAnsi="Times New Roman" w:cs="Times New Roman" w:eastAsia="Times New Roman"/>
          <w:spacing w:val="0"/>
          <w:sz w:val="28"/>
          <w:lang w:val="uk-UA"/>
        </w:rPr>
      </w:r>
      <w:r>
        <w:rPr>
          <w:lang w:val="uk-UA"/>
        </w:rPr>
      </w:r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pacing w:val="0"/>
          <w:sz w:val="28"/>
          <w:lang w:val="uk-UA"/>
        </w:rPr>
        <w:t xml:space="preserve">Необхі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дність застосування програмного підходу до рішення проблеми визначає її соціально-економічний характер, неможливість комплексного рішення даної проблеми без підтримки місцевого бюджету й контролю з боку керівництва Менської ОТГ.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Для вирішення зазначених проблем і передбачається розробка Програми.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2. ОБҐРУНТОВУВАННЯ </w:t>
      </w:r>
      <w:r>
        <w:rPr>
          <w:rFonts w:ascii="Times New Roman" w:hAnsi="Times New Roman" w:cs="Times New Roman" w:eastAsia="Times New Roman"/>
          <w:b/>
          <w:sz w:val="24"/>
          <w:lang w:val="uk-UA"/>
        </w:rPr>
        <w:t xml:space="preserve">НЕОБХІДНОСТІ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ПРИЙНЯТТЯ ПРОГРАМИ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9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Програма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розроблена відповідно до: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Закону України "Про місцеве самоврядування в Україні" (від 21.05.1997р. № 280/97-ВР);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Закону України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"Про благоустрій населених пунктів" (06.09.2005р. № 2807-ІV);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Постанов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и Кабінету Міністрів України від 01.08.2006р. № 1045 із змінами і доповненн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ями «Про затвердження Порядку видалення дерев, кущів, газонів і квітників у населених пунктах»;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Наказу Міністерства будівництва, архітектури та житлово-комунального господарства від 10.04.2006р. № 105 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затвердження Правил у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тримання зелених насаджень в населених пунктах України».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Проблема полягає в тому, що в населених пунктах Менської об’єднаної територіальної громади на даний час нараховується велика кількість аварійно-небезпечних дерев, більшість з яких є небезпечними для будівель, автотранспорту, електромереж, комунікацій та жи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ття жителів.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Виконання Програми передбачається здійснити за рахунок коштів міського бюджету та інших джерел фінансування, не заборонених законодавством.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3. МЕТА І ЗАВДАННЯ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ПРИЙНЯТТЯ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Метою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Програми є попередження виникнення надзвичайних ситуацій на території населених пунктів Менської ОТГ, пов’язаних з аварійністю дерев, забезпечення безпеки для життя, здоров’я та майна людей, запобігання аварійним відключенням повітряних ліній електроперед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ач, ліній зв’язку, виникненням інших аварійних ситуацій.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Основним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завданням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Програми є забезпечити протягом 2020-2022 років організацію комплексу робіт по виконанню робіт з видалення аварійних та перерослих дерев в місцях найбільшого скупчення людей, транспорту, комунікацій, тощо.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4. ОСНОВНІ ЗАХОДИ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ПРОГРАМИ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Видалення зелених насаджень на території населених пунктів Менської ОТГ здійснюється за рішенням виконавчого комітету міської ради на підставі ордера.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Видалення зелених насаджень проводиться у відповідності до Порядку видалення дерев, кущів, газонів і квітників у населених пунктах України (далі – Порядок), затвердженого Постановою Кабінету Міністрів України від 01.08.2006 № 1045. 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720" w:right="0" w:hanging="0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Видалення зелених насаджень здійснюється у разі: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буд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івництва об’єкта архітектури на підставі документів, визначених части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ною п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ершою статті 34 </w:t>
      </w:r>
      <w:hyperlink r:id="rId9" w:history="1">
        <w:r>
          <w:rPr>
            <w:rFonts w:ascii="Times New Roman" w:hAnsi="Times New Roman" w:cs="Times New Roman" w:eastAsia="Times New Roman"/>
            <w:sz w:val="28"/>
            <w:lang w:val="uk-UA"/>
          </w:rPr>
          <w:t xml:space="preserve">Закону України «Про регулювання містобудівної діяльності</w:t>
        </w:r>
      </w:hyperlink>
      <w:r>
        <w:rPr>
          <w:rFonts w:ascii="Times New Roman" w:hAnsi="Times New Roman" w:cs="Times New Roman" w:eastAsia="Times New Roman"/>
          <w:sz w:val="28"/>
          <w:lang w:val="uk-UA"/>
        </w:rPr>
        <w:t xml:space="preserve">»;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знесення аварійних, сухостійних і фаутних дерев, а також самосійних і порослевих дерев з діаметром кореневої шийки не більш як 5 сантиметрів;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ліквідації аварійної ситуації на інженерних мережах населеного пункту;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відновлення світлового режиму в житловому приміщенні, що затіняється деревами;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провед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ення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ремонтних та експлуатаційних робіт в охоронній зоні повітряних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ліній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електропередачі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електромережі;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досягне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ння деревом вікової межі;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провадження господарської діяльності на території розсадників з вирощування декоративних дерев та кущів;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ліквідації наслідків стихійного лиха, аварійної та надзвичайної ситуац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ії.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 процесі ліквідації наслідків стихійного лиха, аварійної та надзвичайної ситуації, а також у разі, коли стан зелених насаджень загрожує життю, здоров’ю людей чи майну громадян, видалення зелених насаджень здійснюється негайно з подальшим оформленням акту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згідно Порядку.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5. ФІНАНСОВЕ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 ЗАБЕЗПЕЧЕННЯ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Фінансування Програми планується здійснювати за рахунок коштів міського бюджету та інших джерел фінансування незаборонені законодавством. 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Обсяги фінансування Програми за рахунок коштів міського бюджету визначаються на 2020-2022 роки відповідно до кошторису в межах бюджетних асигнувань. 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Крім того рекомендується головним розпорядникам бюджетних коштів, керівникам інших підприємств установ та організацій (незалежно від форми власності), головам ОСББ при плануванні витрат на 2020-2022 роки запланувати кошти на видалення аварійних та переросл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их дерев на їх територіях. Особливу увагу звернути на аварійні дерева в закладах освіти (школи, дошкільні навчальні заклади), охорони здоров’я, соціально-культурної сфери, біля центральних міських доріг та інших місць найбільшого скупчення людей. 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Кошти, виділені з міського бюджету використовуються виключно для оплати послуг з видалення аварійно-небезпечних дерев (визначених рішенням виконавчого комітету Менської міської ради) на території населених пунктів Менської об’єднаної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в такому обсязі:</w:t>
      </w:r>
      <w:r>
        <w:rPr>
          <w:lang w:val="uk-UA"/>
        </w:rPr>
      </w:r>
    </w:p>
    <w:tbl>
      <w:tblPr>
        <w:tblStyle w:val="22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233"/>
        <w:gridCol w:w="2596"/>
        <w:gridCol w:w="3406"/>
        <w:gridCol w:w="2119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restart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  <w:t xml:space="preserve">Рік</w:t>
            </w:r>
            <w:r>
              <w:rPr>
                <w:lang w:val="uk-UA"/>
              </w:rPr>
            </w:r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2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18"/>
                <w:lang w:val="uk-UA"/>
              </w:rPr>
              <w:t xml:space="preserve">Джерела фінансування, тис.грн.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18"/>
                <w:lang w:val="uk-UA"/>
              </w:rPr>
              <w:t xml:space="preserve">міський бюджет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18"/>
                <w:lang w:val="uk-UA"/>
              </w:rPr>
              <w:t xml:space="preserve">Інші джерела фінансування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18"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2020 рік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190,00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20,00*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210,00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2021 рік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190,00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20,00*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210,00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2022 рік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190,00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20,00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210,00</w:t>
            </w:r>
            <w:r>
              <w:rPr>
                <w:rFonts w:ascii="Times New Roman" w:hAnsi="Times New Roman" w:cs="Times New Roman" w:eastAsia="Times New Roman"/>
                <w:sz w:val="22"/>
                <w:lang w:val="uk-UA"/>
              </w:rPr>
            </w:r>
            <w:r>
              <w:rPr>
                <w:lang w:val="uk-UA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restart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vMerge w:val="restart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570,00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vMerge w:val="restart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60,00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19" w:type="dxa"/>
            <w:vMerge w:val="restart"/>
            <w:textDirection w:val="lrTb"/>
            <w:noWrap w:val="false"/>
          </w:tcPr>
          <w:p>
            <w:pPr>
              <w:ind w:left="0" w:right="0" w:hanging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color w:val="00000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  <w:t xml:space="preserve">630,00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lang w:val="uk-UA"/>
              </w:rPr>
            </w:r>
            <w:r>
              <w:rPr>
                <w:lang w:val="uk-UA"/>
              </w:rPr>
            </w:r>
          </w:p>
        </w:tc>
      </w:tr>
    </w:tbl>
    <w:p>
      <w:pPr>
        <w:ind w:left="708" w:right="0" w:hanging="0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lang w:val="uk-UA"/>
        </w:rPr>
        <w:t xml:space="preserve">* - орієнтовна сума</w:t>
      </w:r>
      <w:r>
        <w:rPr>
          <w:rFonts w:ascii="Times New Roman" w:hAnsi="Times New Roman" w:cs="Times New Roman" w:eastAsia="Times New Roman"/>
          <w:sz w:val="22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 плануванні видатків міського бюджету на 2020-2022 роки слід запланувати кошти в сумі 190000 грн. щороку для проведення робіт з видалення аварійних та сухостійних дерев згідно додатку 1.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Видалену деревину, оплата послуг за видалення якої за Програмою здійснюватиметься за рахунок місцевого бюджету, оприбутковувати в Менську міську раду. Рішення про подальше її використання деревини приймається сесією міської ради. 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hanging="0"/>
        <w:spacing w:lineRule="auto" w:line="240" w:after="57" w:afterAutospacing="0" w:before="57" w:beforeAutospacing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6. ОЧІКУВАНІ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РЕЗУЛЬТАТИ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Реалізація програмних заходів прямим розрахунком оцінити складно. Кінцеве головне завдання органів місцевого самоврядування - це створення сприятливих безпечних умов для жителів міста, поліпшення архітектурно-художнього обліку населених пунктів Менської міської об’єднаної територіальної громади , покращення екологічної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ситуації у місті, зменшення випадків травматизму у людей, захист споруд та техніки від аварійних руйнувань.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ind w:left="0" w:right="0" w:firstLine="708"/>
        <w:jc w:val="both"/>
        <w:spacing w:lineRule="auto" w:line="240"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Виконання Програми дасть змогу забезпечити: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безпеку ж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иттю, здоров’ю та майну громадян;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безпечну е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ксплуатацію ліній електропередач, ліній зв’язку та інших інженерних мереж;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покращення екологічної ситуації на території населених пунктів ОТГ;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омолод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ження паркових та рекреаційних зон;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lang w:val="uk-UA"/>
        </w:rPr>
      </w:r>
    </w:p>
    <w:p>
      <w:pPr>
        <w:pStyle w:val="208"/>
        <w:numPr>
          <w:ilvl w:val="0"/>
          <w:numId w:val="6"/>
        </w:numPr>
        <w:ind w:left="0" w:right="0" w:hanging="0"/>
        <w:jc w:val="both"/>
        <w:spacing w:lineRule="auto" w:line="240" w:after="0" w:before="0"/>
        <w:tabs>
          <w:tab w:val="left" w:pos="709" w:leader="none"/>
        </w:tabs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зменшення кільк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ості дорожньо-транспортних пригод.</w:t>
      </w: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</w:r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58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suff w:val="tab"/>
      <w:lvlText w:val="o"/>
      <w:lvlJc w:val="left"/>
      <w:pPr>
        <w:ind w:left="709" w:hanging="358"/>
      </w:pPr>
      <w:rPr>
        <w:rFonts w:ascii="Courier New" w:hAnsi="Courier New" w:cs="Courier New" w:eastAsia="Courier New"/>
      </w:rPr>
    </w:lvl>
    <w:lvl w:ilvl="1">
      <w:start w:val="1"/>
      <w:numFmt w:val="bullet"/>
      <w:suff w:val="tab"/>
      <w:lvlText w:val="o"/>
      <w:lvlJc w:val="left"/>
      <w:pPr>
        <w:ind w:left="1429" w:hanging="358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8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8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8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8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8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8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8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0">
    <w:name w:val="Heading 1"/>
    <w:basedOn w:val="258"/>
    <w:next w:val="258"/>
    <w:link w:val="1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91">
    <w:name w:val="Heading 1 Char"/>
    <w:basedOn w:val="259"/>
    <w:link w:val="190"/>
    <w:uiPriority w:val="9"/>
    <w:rPr>
      <w:rFonts w:ascii="Arial" w:hAnsi="Arial" w:cs="Arial" w:eastAsia="Arial"/>
      <w:sz w:val="40"/>
      <w:szCs w:val="40"/>
    </w:rPr>
  </w:style>
  <w:style w:type="paragraph" w:styleId="192">
    <w:name w:val="Heading 2"/>
    <w:basedOn w:val="258"/>
    <w:next w:val="258"/>
    <w:link w:val="1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93">
    <w:name w:val="Heading 2 Char"/>
    <w:basedOn w:val="259"/>
    <w:link w:val="192"/>
    <w:uiPriority w:val="9"/>
    <w:rPr>
      <w:rFonts w:ascii="Arial" w:hAnsi="Arial" w:cs="Arial" w:eastAsia="Arial"/>
      <w:sz w:val="34"/>
    </w:rPr>
  </w:style>
  <w:style w:type="paragraph" w:styleId="194">
    <w:name w:val="Heading 3"/>
    <w:basedOn w:val="258"/>
    <w:next w:val="258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95">
    <w:name w:val="Heading 3 Char"/>
    <w:basedOn w:val="259"/>
    <w:link w:val="194"/>
    <w:uiPriority w:val="9"/>
    <w:rPr>
      <w:rFonts w:ascii="Arial" w:hAnsi="Arial" w:cs="Arial" w:eastAsia="Arial"/>
      <w:sz w:val="30"/>
      <w:szCs w:val="30"/>
    </w:rPr>
  </w:style>
  <w:style w:type="paragraph" w:styleId="196">
    <w:name w:val="Heading 4"/>
    <w:basedOn w:val="258"/>
    <w:next w:val="258"/>
    <w:link w:val="1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7">
    <w:name w:val="Heading 4 Char"/>
    <w:basedOn w:val="259"/>
    <w:link w:val="196"/>
    <w:uiPriority w:val="9"/>
    <w:rPr>
      <w:rFonts w:ascii="Arial" w:hAnsi="Arial" w:cs="Arial" w:eastAsia="Arial"/>
      <w:b/>
      <w:bCs/>
      <w:sz w:val="26"/>
      <w:szCs w:val="26"/>
    </w:rPr>
  </w:style>
  <w:style w:type="paragraph" w:styleId="198">
    <w:name w:val="Heading 5"/>
    <w:basedOn w:val="258"/>
    <w:next w:val="258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9">
    <w:name w:val="Heading 5 Char"/>
    <w:basedOn w:val="259"/>
    <w:link w:val="198"/>
    <w:uiPriority w:val="9"/>
    <w:rPr>
      <w:rFonts w:ascii="Arial" w:hAnsi="Arial" w:cs="Arial" w:eastAsia="Arial"/>
      <w:b/>
      <w:bCs/>
      <w:sz w:val="24"/>
      <w:szCs w:val="24"/>
    </w:rPr>
  </w:style>
  <w:style w:type="paragraph" w:styleId="200">
    <w:name w:val="Heading 6"/>
    <w:basedOn w:val="258"/>
    <w:next w:val="258"/>
    <w:link w:val="2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01">
    <w:name w:val="Heading 6 Char"/>
    <w:basedOn w:val="259"/>
    <w:link w:val="200"/>
    <w:uiPriority w:val="9"/>
    <w:rPr>
      <w:rFonts w:ascii="Arial" w:hAnsi="Arial" w:cs="Arial" w:eastAsia="Arial"/>
      <w:b/>
      <w:bCs/>
      <w:sz w:val="22"/>
      <w:szCs w:val="22"/>
    </w:rPr>
  </w:style>
  <w:style w:type="paragraph" w:styleId="202">
    <w:name w:val="Heading 7"/>
    <w:basedOn w:val="258"/>
    <w:next w:val="258"/>
    <w:link w:val="2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03">
    <w:name w:val="Heading 7 Char"/>
    <w:basedOn w:val="259"/>
    <w:link w:val="2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04">
    <w:name w:val="Heading 8"/>
    <w:basedOn w:val="258"/>
    <w:next w:val="258"/>
    <w:link w:val="2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05">
    <w:name w:val="Heading 8 Char"/>
    <w:basedOn w:val="259"/>
    <w:link w:val="204"/>
    <w:uiPriority w:val="9"/>
    <w:rPr>
      <w:rFonts w:ascii="Arial" w:hAnsi="Arial" w:cs="Arial" w:eastAsia="Arial"/>
      <w:i/>
      <w:iCs/>
      <w:sz w:val="22"/>
      <w:szCs w:val="22"/>
    </w:rPr>
  </w:style>
  <w:style w:type="paragraph" w:styleId="206">
    <w:name w:val="Heading 9"/>
    <w:basedOn w:val="258"/>
    <w:next w:val="258"/>
    <w:link w:val="2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7">
    <w:name w:val="Heading 9 Char"/>
    <w:basedOn w:val="259"/>
    <w:link w:val="206"/>
    <w:uiPriority w:val="9"/>
    <w:rPr>
      <w:rFonts w:ascii="Arial" w:hAnsi="Arial" w:cs="Arial" w:eastAsia="Arial"/>
      <w:i/>
      <w:iCs/>
      <w:sz w:val="21"/>
      <w:szCs w:val="21"/>
    </w:rPr>
  </w:style>
  <w:style w:type="paragraph" w:styleId="208">
    <w:name w:val="List Paragraph"/>
    <w:basedOn w:val="258"/>
    <w:qFormat/>
    <w:uiPriority w:val="34"/>
    <w:pPr>
      <w:contextualSpacing w:val="true"/>
      <w:ind w:left="720"/>
    </w:pPr>
  </w:style>
  <w:style w:type="paragraph" w:styleId="209">
    <w:name w:val="No Spacing"/>
    <w:qFormat/>
    <w:uiPriority w:val="1"/>
    <w:pPr>
      <w:spacing w:lineRule="auto" w:line="240" w:after="0" w:before="0"/>
    </w:pPr>
  </w:style>
  <w:style w:type="paragraph" w:styleId="210">
    <w:name w:val="Title"/>
    <w:basedOn w:val="258"/>
    <w:next w:val="258"/>
    <w:link w:val="2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1">
    <w:name w:val="Title Char"/>
    <w:basedOn w:val="259"/>
    <w:link w:val="210"/>
    <w:uiPriority w:val="10"/>
    <w:rPr>
      <w:sz w:val="48"/>
      <w:szCs w:val="48"/>
    </w:rPr>
  </w:style>
  <w:style w:type="paragraph" w:styleId="212">
    <w:name w:val="Subtitle"/>
    <w:basedOn w:val="258"/>
    <w:next w:val="258"/>
    <w:link w:val="213"/>
    <w:qFormat/>
    <w:uiPriority w:val="11"/>
    <w:rPr>
      <w:sz w:val="24"/>
      <w:szCs w:val="24"/>
    </w:rPr>
    <w:pPr>
      <w:spacing w:after="200" w:before="200"/>
    </w:pPr>
  </w:style>
  <w:style w:type="character" w:styleId="213">
    <w:name w:val="Subtitle Char"/>
    <w:basedOn w:val="259"/>
    <w:link w:val="212"/>
    <w:uiPriority w:val="11"/>
    <w:rPr>
      <w:sz w:val="24"/>
      <w:szCs w:val="24"/>
    </w:rPr>
  </w:style>
  <w:style w:type="paragraph" w:styleId="214">
    <w:name w:val="Quote"/>
    <w:basedOn w:val="258"/>
    <w:next w:val="258"/>
    <w:link w:val="215"/>
    <w:qFormat/>
    <w:uiPriority w:val="29"/>
    <w:rPr>
      <w:i/>
    </w:rPr>
    <w:pPr>
      <w:ind w:left="720" w:right="720"/>
    </w:pPr>
  </w:style>
  <w:style w:type="character" w:styleId="215">
    <w:name w:val="Quote Char"/>
    <w:link w:val="214"/>
    <w:uiPriority w:val="29"/>
    <w:rPr>
      <w:i/>
    </w:rPr>
  </w:style>
  <w:style w:type="paragraph" w:styleId="216">
    <w:name w:val="Intense Quote"/>
    <w:basedOn w:val="258"/>
    <w:next w:val="258"/>
    <w:link w:val="2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7">
    <w:name w:val="Intense Quote Char"/>
    <w:link w:val="216"/>
    <w:uiPriority w:val="30"/>
    <w:rPr>
      <w:i/>
    </w:rPr>
  </w:style>
  <w:style w:type="paragraph" w:styleId="218">
    <w:name w:val="Header"/>
    <w:basedOn w:val="258"/>
    <w:link w:val="2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9">
    <w:name w:val="Header Char"/>
    <w:basedOn w:val="259"/>
    <w:link w:val="218"/>
    <w:uiPriority w:val="99"/>
  </w:style>
  <w:style w:type="paragraph" w:styleId="220">
    <w:name w:val="Footer"/>
    <w:basedOn w:val="258"/>
    <w:link w:val="2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21">
    <w:name w:val="Footer Char"/>
    <w:basedOn w:val="259"/>
    <w:link w:val="220"/>
    <w:uiPriority w:val="99"/>
  </w:style>
  <w:style w:type="table" w:styleId="222">
    <w:name w:val="Table Grid"/>
    <w:basedOn w:val="2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58"/>
    <w:link w:val="246"/>
    <w:uiPriority w:val="99"/>
    <w:semiHidden/>
    <w:unhideWhenUsed/>
    <w:rPr>
      <w:sz w:val="18"/>
    </w:rPr>
    <w:pPr>
      <w:spacing w:lineRule="auto" w:line="240" w:after="40"/>
    </w:pPr>
  </w:style>
  <w:style w:type="character" w:styleId="246">
    <w:name w:val="Footnote Text Char"/>
    <w:link w:val="245"/>
    <w:uiPriority w:val="99"/>
    <w:rPr>
      <w:sz w:val="18"/>
    </w:rPr>
  </w:style>
  <w:style w:type="character" w:styleId="247">
    <w:name w:val="footnote reference"/>
    <w:basedOn w:val="259"/>
    <w:uiPriority w:val="99"/>
    <w:unhideWhenUsed/>
    <w:rPr>
      <w:vertAlign w:val="superscript"/>
    </w:rPr>
  </w:style>
  <w:style w:type="paragraph" w:styleId="248">
    <w:name w:val="toc 1"/>
    <w:basedOn w:val="258"/>
    <w:next w:val="258"/>
    <w:uiPriority w:val="39"/>
    <w:unhideWhenUsed/>
    <w:pPr>
      <w:ind w:left="0" w:right="0" w:hanging="0"/>
      <w:spacing w:after="57"/>
    </w:pPr>
  </w:style>
  <w:style w:type="paragraph" w:styleId="249">
    <w:name w:val="toc 2"/>
    <w:basedOn w:val="258"/>
    <w:next w:val="258"/>
    <w:uiPriority w:val="39"/>
    <w:unhideWhenUsed/>
    <w:pPr>
      <w:ind w:left="283" w:right="0" w:hanging="0"/>
      <w:spacing w:after="57"/>
    </w:pPr>
  </w:style>
  <w:style w:type="paragraph" w:styleId="250">
    <w:name w:val="toc 3"/>
    <w:basedOn w:val="258"/>
    <w:next w:val="258"/>
    <w:uiPriority w:val="39"/>
    <w:unhideWhenUsed/>
    <w:pPr>
      <w:ind w:left="567" w:right="0" w:hanging="0"/>
      <w:spacing w:after="57"/>
    </w:pPr>
  </w:style>
  <w:style w:type="paragraph" w:styleId="251">
    <w:name w:val="toc 4"/>
    <w:basedOn w:val="258"/>
    <w:next w:val="258"/>
    <w:uiPriority w:val="39"/>
    <w:unhideWhenUsed/>
    <w:pPr>
      <w:ind w:left="850" w:right="0" w:hanging="0"/>
      <w:spacing w:after="57"/>
    </w:pPr>
  </w:style>
  <w:style w:type="paragraph" w:styleId="252">
    <w:name w:val="toc 5"/>
    <w:basedOn w:val="258"/>
    <w:next w:val="258"/>
    <w:uiPriority w:val="39"/>
    <w:unhideWhenUsed/>
    <w:pPr>
      <w:ind w:left="1134" w:right="0" w:hanging="0"/>
      <w:spacing w:after="57"/>
    </w:pPr>
  </w:style>
  <w:style w:type="paragraph" w:styleId="253">
    <w:name w:val="toc 6"/>
    <w:basedOn w:val="258"/>
    <w:next w:val="258"/>
    <w:uiPriority w:val="39"/>
    <w:unhideWhenUsed/>
    <w:pPr>
      <w:ind w:left="1417" w:right="0" w:hanging="0"/>
      <w:spacing w:after="57"/>
    </w:pPr>
  </w:style>
  <w:style w:type="paragraph" w:styleId="254">
    <w:name w:val="toc 7"/>
    <w:basedOn w:val="258"/>
    <w:next w:val="258"/>
    <w:uiPriority w:val="39"/>
    <w:unhideWhenUsed/>
    <w:pPr>
      <w:ind w:left="1701" w:right="0" w:hanging="0"/>
      <w:spacing w:after="57"/>
    </w:pPr>
  </w:style>
  <w:style w:type="paragraph" w:styleId="255">
    <w:name w:val="toc 8"/>
    <w:basedOn w:val="258"/>
    <w:next w:val="258"/>
    <w:uiPriority w:val="39"/>
    <w:unhideWhenUsed/>
    <w:pPr>
      <w:ind w:left="1984" w:right="0" w:hanging="0"/>
      <w:spacing w:after="57"/>
    </w:pPr>
  </w:style>
  <w:style w:type="paragraph" w:styleId="256">
    <w:name w:val="toc 9"/>
    <w:basedOn w:val="258"/>
    <w:next w:val="258"/>
    <w:uiPriority w:val="39"/>
    <w:unhideWhenUsed/>
    <w:pPr>
      <w:ind w:left="2268" w:right="0" w:hanging="0"/>
      <w:spacing w:after="57"/>
    </w:pPr>
  </w:style>
  <w:style w:type="paragraph" w:styleId="257">
    <w:name w:val="TOC Heading"/>
    <w:uiPriority w:val="39"/>
    <w:unhideWhenUsed/>
  </w:style>
  <w:style w:type="paragraph" w:styleId="258" w:default="1">
    <w:name w:val="Normal"/>
    <w:qFormat/>
  </w:style>
  <w:style w:type="character" w:styleId="259" w:default="1">
    <w:name w:val="Default Paragraph Font"/>
    <w:uiPriority w:val="1"/>
    <w:semiHidden/>
    <w:unhideWhenUsed/>
  </w:style>
  <w:style w:type="table" w:styleId="2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zakon2.rada.gov.ua/laws/show/3038-17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