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8"/>
        </w:rPr>
      </w:pPr>
      <w:r>
        <w:rPr>
          <w:b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19" cy="746759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/>
    </w:p>
    <w:p>
      <w:pPr>
        <w:pStyle w:val="183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</w:t>
      </w:r>
      <w:r>
        <w:rPr>
          <w:b/>
          <w:sz w:val="28"/>
          <w:szCs w:val="28"/>
        </w:rPr>
        <w:t xml:space="preserve">п’ята</w:t>
      </w:r>
      <w:r>
        <w:rPr>
          <w:b/>
          <w:sz w:val="28"/>
          <w:szCs w:val="28"/>
        </w:rPr>
        <w:t xml:space="preserve"> сесія сьомого скликання )</w:t>
      </w:r>
      <w:r/>
    </w:p>
    <w:p>
      <w:pPr>
        <w:pStyle w:val="191"/>
        <w:rPr>
          <w:szCs w:val="28"/>
        </w:rPr>
      </w:pPr>
      <w:r>
        <w:rPr>
          <w:szCs w:val="28"/>
        </w:rPr>
        <w:t xml:space="preserve">ПРОЕКТ</w:t>
      </w:r>
      <w:r>
        <w:rPr>
          <w:szCs w:val="28"/>
        </w:rPr>
        <w:t xml:space="preserve"> </w:t>
      </w:r>
      <w:r>
        <w:rPr>
          <w:szCs w:val="28"/>
        </w:rPr>
        <w:t xml:space="preserve">РІШЕННЯ</w:t>
      </w:r>
      <w:r/>
    </w:p>
    <w:p>
      <w:pPr>
        <w:tabs>
          <w:tab w:val="center" w:pos="4762" w:leader="none"/>
        </w:tabs>
        <w:rPr>
          <w:sz w:val="28"/>
          <w:szCs w:val="28"/>
          <w:lang w:val="ru-RU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15 листопада </w:t>
      </w:r>
      <w:r>
        <w:rPr>
          <w:sz w:val="28"/>
          <w:szCs w:val="28"/>
        </w:rPr>
        <w:t xml:space="preserve">2019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</w:rPr>
        <w:t xml:space="preserve"> 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ind w:hang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Про затвердження технічної  документації із землеустрою по встановленню</w:t>
            </w:r>
            <w:r>
              <w:rPr>
                <w:b/>
                <w:sz w:val="28"/>
              </w:rPr>
              <w:t xml:space="preserve"> (відновленню)</w:t>
            </w:r>
            <w:r>
              <w:rPr>
                <w:b/>
                <w:sz w:val="28"/>
              </w:rPr>
              <w:t xml:space="preserve"> меж земельних </w:t>
            </w:r>
            <w:r>
              <w:rPr>
                <w:b/>
                <w:sz w:val="28"/>
              </w:rPr>
              <w:t xml:space="preserve">часток (паїв)</w:t>
            </w:r>
            <w:r>
              <w:rPr>
                <w:b/>
                <w:sz w:val="28"/>
              </w:rPr>
              <w:t xml:space="preserve"> громадянам </w:t>
            </w:r>
            <w:r>
              <w:rPr>
                <w:b/>
                <w:sz w:val="28"/>
              </w:rPr>
              <w:t xml:space="preserve">для </w:t>
            </w:r>
            <w:r>
              <w:rPr>
                <w:b/>
                <w:sz w:val="28"/>
              </w:rPr>
              <w:t xml:space="preserve">передачі в оренду </w:t>
            </w:r>
            <w:r>
              <w:rPr>
                <w:b/>
                <w:sz w:val="28"/>
              </w:rPr>
              <w:t xml:space="preserve">на території Менського району</w:t>
            </w:r>
            <w:r/>
          </w:p>
        </w:tc>
      </w:tr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</w:t>
      </w:r>
      <w:r>
        <w:rPr>
          <w:sz w:val="28"/>
          <w:szCs w:val="28"/>
        </w:rPr>
        <w:t xml:space="preserve">землеустрою по встановленню (відновленню) меж земельних ділянок та виділення земельних часток (паїв) в натурі (на місцевості) на території Менського району, керуючись Законом України «Про порядок виділення в натурі (на місцевості) земельних ділянок  власни</w:t>
      </w:r>
      <w:r>
        <w:rPr>
          <w:sz w:val="28"/>
          <w:szCs w:val="28"/>
        </w:rPr>
        <w:t xml:space="preserve">кам земельних часток (паїв)» </w:t>
      </w:r>
      <w:r>
        <w:rPr>
          <w:sz w:val="28"/>
          <w:szCs w:val="28"/>
        </w:rPr>
        <w:t xml:space="preserve">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 :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192"/>
        <w:numPr>
          <w:ilvl w:val="0"/>
          <w:numId w:val="2"/>
        </w:numPr>
        <w:ind w:left="0" w:firstLine="567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(відновленню) меж земельних ділянок</w:t>
      </w:r>
      <w:r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виділити в натурі (на місцевості) </w:t>
      </w:r>
      <w:bookmarkStart w:id="1" w:name="_Hlk20393636"/>
      <w:r>
        <w:rPr>
          <w:sz w:val="28"/>
          <w:szCs w:val="28"/>
        </w:rPr>
        <w:t xml:space="preserve">земельні частки (паї) </w:t>
      </w:r>
      <w:bookmarkEnd w:id="1"/>
      <w:r>
        <w:rPr>
          <w:sz w:val="28"/>
          <w:szCs w:val="28"/>
        </w:rPr>
        <w:t xml:space="preserve">та передачі їх в оренду </w:t>
      </w:r>
      <w:r>
        <w:rPr>
          <w:sz w:val="28"/>
          <w:szCs w:val="28"/>
        </w:rPr>
        <w:t xml:space="preserve">для ведення товарного </w:t>
      </w:r>
      <w:r>
        <w:rPr>
          <w:sz w:val="28"/>
          <w:szCs w:val="28"/>
        </w:rPr>
        <w:t xml:space="preserve">сільськогосподарського </w:t>
      </w:r>
      <w:r>
        <w:rPr>
          <w:sz w:val="28"/>
          <w:szCs w:val="28"/>
        </w:rPr>
        <w:t xml:space="preserve">виробництва на території Менського району:</w:t>
      </w:r>
      <w:r/>
    </w:p>
    <w:p>
      <w:pPr>
        <w:tabs>
          <w:tab w:val="left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за межами с. </w:t>
      </w:r>
      <w:r>
        <w:rPr>
          <w:b/>
          <w:sz w:val="28"/>
          <w:szCs w:val="28"/>
        </w:rPr>
        <w:t xml:space="preserve">Блистова</w:t>
      </w:r>
      <w:r>
        <w:rPr>
          <w:b/>
          <w:sz w:val="28"/>
          <w:szCs w:val="28"/>
        </w:rPr>
        <w:t xml:space="preserve">: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/>
      <w:bookmarkStart w:id="2" w:name="_Hlk20388113"/>
      <w:r/>
      <w:r>
        <w:rPr>
          <w:sz w:val="28"/>
          <w:szCs w:val="28"/>
        </w:rPr>
        <w:t xml:space="preserve">Гусейнов </w:t>
      </w:r>
      <w:r>
        <w:rPr>
          <w:sz w:val="28"/>
          <w:szCs w:val="28"/>
        </w:rPr>
        <w:t xml:space="preserve">Ельмаддін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Ібрагим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Огли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3735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bookmarkStart w:id="4" w:name="_Hlk18940484"/>
      <w:r>
        <w:rPr>
          <w:sz w:val="28"/>
          <w:szCs w:val="28"/>
        </w:rPr>
        <w:t xml:space="preserve">742308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00:0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:000:0</w:t>
      </w:r>
      <w:bookmarkEnd w:id="4"/>
      <w:r>
        <w:rPr>
          <w:sz w:val="28"/>
          <w:szCs w:val="28"/>
        </w:rPr>
        <w:t xml:space="preserve">451</w:t>
      </w:r>
      <w:bookmarkEnd w:id="2"/>
      <w:r/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Гусейнов </w:t>
      </w:r>
      <w:r>
        <w:rPr>
          <w:sz w:val="28"/>
          <w:szCs w:val="28"/>
        </w:rPr>
        <w:t xml:space="preserve">Ельмаддін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Ібрагим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Огли</w:t>
      </w:r>
      <w:r>
        <w:rPr>
          <w:sz w:val="28"/>
          <w:szCs w:val="28"/>
        </w:rPr>
        <w:tab/>
        <w:t xml:space="preserve">3,3735 га </w:t>
      </w:r>
      <w:r>
        <w:rPr>
          <w:sz w:val="28"/>
          <w:szCs w:val="28"/>
        </w:rPr>
        <w:tab/>
        <w:t xml:space="preserve">7423081000:04:000:045</w:t>
      </w:r>
      <w:r>
        <w:rPr>
          <w:sz w:val="28"/>
          <w:szCs w:val="28"/>
        </w:rPr>
        <w:t xml:space="preserve">2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Гусейнов </w:t>
      </w:r>
      <w:r>
        <w:rPr>
          <w:sz w:val="28"/>
          <w:szCs w:val="28"/>
        </w:rPr>
        <w:t xml:space="preserve">Ельмаддін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Ібрагим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Огли</w:t>
      </w:r>
      <w:r>
        <w:rPr>
          <w:sz w:val="28"/>
          <w:szCs w:val="28"/>
        </w:rPr>
        <w:tab/>
        <w:t xml:space="preserve">3,3735 га </w:t>
      </w:r>
      <w:r>
        <w:rPr>
          <w:sz w:val="28"/>
          <w:szCs w:val="28"/>
        </w:rPr>
        <w:tab/>
        <w:t xml:space="preserve">7423081000:04:000:045</w:t>
      </w:r>
      <w:r>
        <w:rPr>
          <w:sz w:val="28"/>
          <w:szCs w:val="28"/>
        </w:rPr>
        <w:t xml:space="preserve">3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Картун</w:t>
      </w:r>
      <w:r>
        <w:rPr>
          <w:sz w:val="28"/>
          <w:szCs w:val="28"/>
        </w:rPr>
        <w:t xml:space="preserve"> Сергій Анатолійович </w:t>
      </w:r>
      <w:r>
        <w:rPr>
          <w:sz w:val="28"/>
          <w:szCs w:val="28"/>
        </w:rPr>
        <w:tab/>
        <w:t xml:space="preserve">3,4935 га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7423081000:0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013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Картун</w:t>
      </w:r>
      <w:r>
        <w:rPr>
          <w:sz w:val="28"/>
          <w:szCs w:val="28"/>
        </w:rPr>
        <w:t xml:space="preserve"> Сергій Анатолійович </w:t>
      </w:r>
      <w:r>
        <w:rPr>
          <w:sz w:val="28"/>
          <w:szCs w:val="28"/>
        </w:rPr>
        <w:tab/>
        <w:t xml:space="preserve">3,4890 га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7423081000:0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:000:0</w:t>
      </w:r>
      <w:r>
        <w:rPr>
          <w:sz w:val="28"/>
          <w:szCs w:val="28"/>
        </w:rPr>
        <w:t xml:space="preserve">014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/>
      <w:bookmarkStart w:id="5" w:name="_Hlk20388740"/>
      <w:r>
        <w:rPr>
          <w:sz w:val="28"/>
          <w:szCs w:val="28"/>
        </w:rPr>
        <w:t xml:space="preserve">Сироїд Михайло Іванович </w:t>
      </w:r>
      <w:r>
        <w:rPr>
          <w:sz w:val="28"/>
          <w:szCs w:val="28"/>
        </w:rPr>
        <w:tab/>
        <w:t xml:space="preserve">3,4308 га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7423081000:0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1389</w:t>
      </w:r>
      <w:bookmarkEnd w:id="5"/>
      <w:r/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Сироїд Михайло Іванович </w:t>
      </w:r>
      <w:r>
        <w:rPr>
          <w:sz w:val="28"/>
          <w:szCs w:val="28"/>
        </w:rPr>
        <w:tab/>
        <w:t xml:space="preserve">3,5464 га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7423081000:0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0025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Сироїд Михайло Іванович </w:t>
      </w:r>
      <w:r>
        <w:rPr>
          <w:sz w:val="28"/>
          <w:szCs w:val="28"/>
        </w:rPr>
        <w:tab/>
        <w:t xml:space="preserve">3,5464 га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7423081000:0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0024</w:t>
      </w:r>
      <w:r/>
    </w:p>
    <w:p>
      <w:pPr>
        <w:tabs>
          <w:tab w:val="left" w:pos="0" w:leader="none"/>
          <w:tab w:val="left" w:pos="4253" w:leader="none"/>
          <w:tab w:val="left" w:pos="4536" w:leader="none"/>
          <w:tab w:val="left" w:pos="49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Сироїд Михайло Іванович </w:t>
      </w:r>
      <w:r>
        <w:rPr>
          <w:sz w:val="28"/>
          <w:szCs w:val="28"/>
        </w:rPr>
        <w:tab/>
        <w:t xml:space="preserve">3,5169 га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7423081000:0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0028</w:t>
      </w:r>
      <w:r/>
    </w:p>
    <w:p>
      <w:pPr>
        <w:pStyle w:val="192"/>
        <w:numPr>
          <w:ilvl w:val="0"/>
          <w:numId w:val="2"/>
        </w:numPr>
        <w:ind w:left="0" w:firstLine="567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Передати земельні </w:t>
      </w:r>
      <w:r>
        <w:rPr>
          <w:sz w:val="28"/>
          <w:szCs w:val="28"/>
        </w:rPr>
        <w:t xml:space="preserve">ділянки (невитребувані </w:t>
      </w:r>
      <w:r>
        <w:rPr>
          <w:sz w:val="28"/>
          <w:szCs w:val="28"/>
        </w:rPr>
        <w:t xml:space="preserve">земельні частки паї) </w:t>
      </w:r>
      <w:r>
        <w:rPr>
          <w:sz w:val="28"/>
          <w:szCs w:val="28"/>
        </w:rPr>
        <w:t xml:space="preserve">в оренду терміном на 7 (сім) років та уста</w:t>
      </w:r>
      <w:r>
        <w:rPr>
          <w:sz w:val="28"/>
          <w:szCs w:val="28"/>
        </w:rPr>
        <w:t xml:space="preserve">новити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рендну плату в розмірі 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 % </w:t>
      </w:r>
      <w:r>
        <w:rPr>
          <w:sz w:val="28"/>
          <w:szCs w:val="28"/>
        </w:rPr>
        <w:t xml:space="preserve">від нормативної грошової оцінки в рік, по кожній земельній ділянці, яка повинна сплачуватись в строки передбачені чинним законодавством.</w:t>
      </w:r>
      <w:r>
        <w:rPr>
          <w:sz w:val="28"/>
        </w:rPr>
      </w:r>
    </w:p>
    <w:p>
      <w:pPr>
        <w:pStyle w:val="192"/>
        <w:numPr>
          <w:ilvl w:val="0"/>
          <w:numId w:val="2"/>
        </w:numPr>
        <w:ind w:left="0" w:firstLine="567"/>
        <w:jc w:val="both"/>
        <w:tabs>
          <w:tab w:val="left" w:pos="99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укласти до</w:t>
      </w:r>
      <w:r>
        <w:rPr>
          <w:sz w:val="28"/>
          <w:szCs w:val="28"/>
        </w:rPr>
        <w:t xml:space="preserve">говір оренди земельної ділянки.</w:t>
      </w:r>
      <w:r/>
    </w:p>
    <w:sectPr>
      <w:footnotePr/>
      <w:type w:val="nextPage"/>
      <w:pgSz w:w="11906" w:h="16838"/>
      <w:pgMar w:top="1134" w:right="850" w:bottom="567" w:left="170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928" w:hanging="359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8" w:hanging="359"/>
      </w:pPr>
    </w:lvl>
    <w:lvl w:ilvl="2">
      <w:start w:val="1"/>
      <w:numFmt w:val="lowerRoman"/>
      <w:suff w:val="tab"/>
      <w:lvlText w:val="%3."/>
      <w:lvlJc w:val="right"/>
      <w:pPr>
        <w:ind w:left="2508" w:hanging="179"/>
      </w:pPr>
    </w:lvl>
    <w:lvl w:ilvl="3">
      <w:start w:val="1"/>
      <w:numFmt w:val="decimal"/>
      <w:suff w:val="tab"/>
      <w:lvlText w:val="%4."/>
      <w:lvlJc w:val="left"/>
      <w:pPr>
        <w:ind w:left="3228" w:hanging="359"/>
      </w:pPr>
    </w:lvl>
    <w:lvl w:ilvl="4">
      <w:start w:val="1"/>
      <w:numFmt w:val="lowerLetter"/>
      <w:suff w:val="tab"/>
      <w:lvlText w:val="%5."/>
      <w:lvlJc w:val="left"/>
      <w:pPr>
        <w:ind w:left="3948" w:hanging="359"/>
      </w:pPr>
    </w:lvl>
    <w:lvl w:ilvl="5">
      <w:start w:val="1"/>
      <w:numFmt w:val="lowerRoman"/>
      <w:suff w:val="tab"/>
      <w:lvlText w:val="%6."/>
      <w:lvlJc w:val="right"/>
      <w:pPr>
        <w:ind w:left="4668" w:hanging="179"/>
      </w:pPr>
    </w:lvl>
    <w:lvl w:ilvl="6">
      <w:start w:val="1"/>
      <w:numFmt w:val="decimal"/>
      <w:suff w:val="tab"/>
      <w:lvlText w:val="%7."/>
      <w:lvlJc w:val="left"/>
      <w:pPr>
        <w:ind w:left="5388" w:hanging="359"/>
      </w:pPr>
    </w:lvl>
    <w:lvl w:ilvl="7">
      <w:start w:val="1"/>
      <w:numFmt w:val="lowerLetter"/>
      <w:suff w:val="tab"/>
      <w:lvlText w:val="%8."/>
      <w:lvlJc w:val="left"/>
      <w:pPr>
        <w:ind w:left="6108" w:hanging="359"/>
      </w:pPr>
    </w:lvl>
    <w:lvl w:ilvl="8">
      <w:start w:val="1"/>
      <w:numFmt w:val="lowerRoman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405" w:hanging="359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125" w:hanging="359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1845" w:hanging="179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65" w:hanging="359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85" w:hanging="359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005" w:hanging="179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725" w:hanging="359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45" w:hanging="359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165" w:hanging="179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84"/>
    <w:link w:val="183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82"/>
    <w:next w:val="18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18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182"/>
    <w:next w:val="18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18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82"/>
    <w:next w:val="18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8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82"/>
    <w:next w:val="18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8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82"/>
    <w:next w:val="18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8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82"/>
    <w:next w:val="18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8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82"/>
    <w:next w:val="18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8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82"/>
    <w:next w:val="18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8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82"/>
    <w:next w:val="18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84"/>
    <w:link w:val="32"/>
    <w:uiPriority w:val="10"/>
    <w:rPr>
      <w:sz w:val="48"/>
      <w:szCs w:val="48"/>
    </w:rPr>
  </w:style>
  <w:style w:type="paragraph" w:styleId="34">
    <w:name w:val="Subtitle"/>
    <w:basedOn w:val="182"/>
    <w:next w:val="18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84"/>
    <w:link w:val="34"/>
    <w:uiPriority w:val="11"/>
    <w:rPr>
      <w:sz w:val="24"/>
      <w:szCs w:val="24"/>
    </w:rPr>
  </w:style>
  <w:style w:type="paragraph" w:styleId="36">
    <w:name w:val="Quote"/>
    <w:basedOn w:val="182"/>
    <w:next w:val="18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82"/>
    <w:next w:val="18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8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84"/>
    <w:link w:val="40"/>
    <w:uiPriority w:val="99"/>
  </w:style>
  <w:style w:type="paragraph" w:styleId="42">
    <w:name w:val="Footer"/>
    <w:basedOn w:val="18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84"/>
    <w:link w:val="42"/>
    <w:uiPriority w:val="99"/>
  </w:style>
  <w:style w:type="table" w:styleId="44">
    <w:name w:val="Table Grid"/>
    <w:basedOn w:val="18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8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8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182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84"/>
    <w:uiPriority w:val="99"/>
    <w:unhideWhenUsed/>
    <w:rPr>
      <w:vertAlign w:val="superscript"/>
    </w:rPr>
  </w:style>
  <w:style w:type="paragraph" w:styleId="70">
    <w:name w:val="toc 1"/>
    <w:basedOn w:val="182"/>
    <w:next w:val="182"/>
    <w:uiPriority w:val="39"/>
    <w:unhideWhenUsed/>
    <w:pPr>
      <w:ind w:left="0" w:right="0" w:hanging="0"/>
      <w:spacing w:after="57"/>
    </w:pPr>
  </w:style>
  <w:style w:type="paragraph" w:styleId="71">
    <w:name w:val="toc 2"/>
    <w:basedOn w:val="182"/>
    <w:next w:val="182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82"/>
    <w:next w:val="182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82"/>
    <w:next w:val="182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82"/>
    <w:next w:val="182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82"/>
    <w:next w:val="182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82"/>
    <w:next w:val="182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82"/>
    <w:next w:val="182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82"/>
    <w:next w:val="182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82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183">
    <w:name w:val="Heading 1"/>
    <w:basedOn w:val="182"/>
    <w:next w:val="182"/>
    <w:link w:val="187"/>
    <w:qFormat/>
    <w:uiPriority w:val="99"/>
    <w:rPr>
      <w:b/>
      <w:sz w:val="32"/>
    </w:rPr>
    <w:pPr>
      <w:jc w:val="center"/>
      <w:keepNext/>
      <w:outlineLvl w:val="0"/>
    </w:pPr>
  </w:style>
  <w:style w:type="character" w:styleId="184" w:default="1">
    <w:name w:val="Default Paragraph Font"/>
    <w:uiPriority w:val="1"/>
    <w:semiHidden/>
    <w:unhideWhenUsed/>
  </w:style>
  <w:style w:type="table" w:styleId="1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6" w:default="1">
    <w:name w:val="No List"/>
    <w:uiPriority w:val="99"/>
    <w:semiHidden/>
    <w:unhideWhenUsed/>
  </w:style>
  <w:style w:type="character" w:styleId="187" w:customStyle="1">
    <w:name w:val="Заголовок 1 Знак"/>
    <w:basedOn w:val="184"/>
    <w:link w:val="183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188">
    <w:name w:val="HTML Preformatted"/>
    <w:basedOn w:val="182"/>
    <w:link w:val="189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89" w:customStyle="1">
    <w:name w:val="Стандартный HTML Знак"/>
    <w:basedOn w:val="184"/>
    <w:link w:val="188"/>
    <w:uiPriority w:val="99"/>
    <w:rPr>
      <w:rFonts w:ascii="Courier New" w:hAnsi="Courier New" w:cs="Courier New"/>
    </w:rPr>
  </w:style>
  <w:style w:type="character" w:styleId="190" w:customStyle="1">
    <w:name w:val="rvts23"/>
    <w:basedOn w:val="184"/>
    <w:uiPriority w:val="99"/>
    <w:rPr>
      <w:rFonts w:cs="Times New Roman"/>
    </w:rPr>
  </w:style>
  <w:style w:type="paragraph" w:styleId="191" w:customStyle="1">
    <w:name w:val="Титулка"/>
    <w:basedOn w:val="182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192">
    <w:name w:val="List Paragraph"/>
    <w:basedOn w:val="182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