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EA23E6">
        <w:rPr>
          <w:b/>
          <w:color w:val="000000"/>
          <w:sz w:val="28"/>
          <w:szCs w:val="28"/>
          <w:lang w:eastAsia="ar-SA"/>
        </w:rPr>
        <w:t>двадцять сьома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F702E0" w:rsidRPr="00F008CC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008CC">
        <w:rPr>
          <w:b/>
          <w:color w:val="000000"/>
          <w:sz w:val="28"/>
          <w:szCs w:val="28"/>
          <w:lang w:eastAsia="ar-SA"/>
        </w:rPr>
        <w:t>ПРОЕКТ РІШЕННЯ</w:t>
      </w:r>
    </w:p>
    <w:p w:rsidR="00F702E0" w:rsidRDefault="00F702E0" w:rsidP="00F702E0">
      <w:pPr>
        <w:suppressAutoHyphens/>
        <w:rPr>
          <w:b/>
          <w:bCs/>
          <w:sz w:val="28"/>
          <w:szCs w:val="28"/>
          <w:lang w:eastAsia="ar-SA"/>
        </w:rPr>
      </w:pPr>
    </w:p>
    <w:p w:rsidR="00F702E0" w:rsidRPr="00D83624" w:rsidRDefault="00F702E0" w:rsidP="00F702E0">
      <w:pPr>
        <w:suppressAutoHyphens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EA23E6">
        <w:rPr>
          <w:b/>
          <w:bCs/>
          <w:sz w:val="28"/>
          <w:szCs w:val="28"/>
          <w:lang w:eastAsia="ar-SA"/>
        </w:rPr>
        <w:t>2</w:t>
      </w:r>
      <w:r w:rsidR="00E94CC9">
        <w:rPr>
          <w:b/>
          <w:bCs/>
          <w:sz w:val="28"/>
          <w:szCs w:val="28"/>
          <w:lang w:eastAsia="ar-SA"/>
        </w:rPr>
        <w:t>2»</w:t>
      </w:r>
      <w:r w:rsidR="00EA23E6">
        <w:rPr>
          <w:b/>
          <w:bCs/>
          <w:sz w:val="28"/>
          <w:szCs w:val="28"/>
          <w:lang w:eastAsia="ar-SA"/>
        </w:rPr>
        <w:t xml:space="preserve"> лютого</w:t>
      </w:r>
      <w:r>
        <w:rPr>
          <w:b/>
          <w:bCs/>
          <w:sz w:val="28"/>
          <w:szCs w:val="28"/>
          <w:lang w:eastAsia="ar-SA"/>
        </w:rPr>
        <w:t xml:space="preserve"> 2019</w:t>
      </w:r>
      <w:r w:rsidRPr="00D83624">
        <w:rPr>
          <w:b/>
          <w:bCs/>
          <w:sz w:val="28"/>
          <w:szCs w:val="28"/>
          <w:lang w:eastAsia="ar-SA"/>
        </w:rPr>
        <w:t xml:space="preserve"> року 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№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E94CC9">
      <w:pPr>
        <w:suppressAutoHyphens/>
        <w:ind w:right="4818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затвердження порядку </w:t>
      </w:r>
      <w:r w:rsidR="00E94CC9">
        <w:rPr>
          <w:b/>
          <w:sz w:val="28"/>
          <w:szCs w:val="28"/>
          <w:lang w:eastAsia="ar-SA"/>
        </w:rPr>
        <w:t xml:space="preserve">використання коштів місцевого бюджету з </w:t>
      </w:r>
      <w:r>
        <w:rPr>
          <w:b/>
          <w:sz w:val="28"/>
          <w:szCs w:val="28"/>
          <w:lang w:eastAsia="ar-SA"/>
        </w:rPr>
        <w:t>відшкодування різниці між тарифом на послуги з перевезення пасажирів та вартістю квитка</w:t>
      </w:r>
      <w:r w:rsidR="00E94CC9">
        <w:rPr>
          <w:b/>
          <w:sz w:val="28"/>
          <w:szCs w:val="28"/>
          <w:lang w:eastAsia="ar-SA"/>
        </w:rPr>
        <w:t xml:space="preserve"> на 2019 – 2020 роки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F702E0" w:rsidRDefault="00F702E0" w:rsidP="00F702E0">
      <w:pPr>
        <w:jc w:val="both"/>
        <w:rPr>
          <w:sz w:val="28"/>
          <w:szCs w:val="28"/>
          <w:lang w:eastAsia="ar-SA"/>
        </w:rPr>
      </w:pPr>
      <w:r w:rsidRPr="00D83624">
        <w:rPr>
          <w:sz w:val="28"/>
          <w:szCs w:val="28"/>
          <w:lang w:eastAsia="ar-SA"/>
        </w:rPr>
        <w:t>З метою забезпечення перевезення пасажирів</w:t>
      </w:r>
      <w:r>
        <w:rPr>
          <w:sz w:val="28"/>
          <w:szCs w:val="28"/>
          <w:lang w:eastAsia="ar-SA"/>
        </w:rPr>
        <w:t xml:space="preserve"> по м. Мена, керуючись ст. 26 Закону України </w:t>
      </w:r>
      <w:r w:rsidRPr="006F49BA">
        <w:rPr>
          <w:sz w:val="28"/>
          <w:szCs w:val="28"/>
          <w:lang w:val="ru-RU" w:eastAsia="ar-SA"/>
        </w:rPr>
        <w:t>“</w:t>
      </w:r>
      <w:r>
        <w:rPr>
          <w:sz w:val="28"/>
          <w:szCs w:val="28"/>
          <w:lang w:eastAsia="ar-SA"/>
        </w:rPr>
        <w:t>Про місцеве самоврядування в Україні</w:t>
      </w:r>
      <w:r w:rsidRPr="006F49BA">
        <w:rPr>
          <w:sz w:val="28"/>
          <w:szCs w:val="28"/>
          <w:lang w:val="ru-RU" w:eastAsia="ar-SA"/>
        </w:rPr>
        <w:t>”</w:t>
      </w:r>
      <w:r>
        <w:rPr>
          <w:sz w:val="28"/>
          <w:szCs w:val="28"/>
          <w:lang w:eastAsia="ar-SA"/>
        </w:rPr>
        <w:t xml:space="preserve"> Менська міська рада</w:t>
      </w:r>
    </w:p>
    <w:p w:rsidR="00EA23E6" w:rsidRDefault="00EA23E6" w:rsidP="00F702E0">
      <w:pPr>
        <w:rPr>
          <w:b/>
          <w:sz w:val="28"/>
          <w:szCs w:val="28"/>
          <w:lang w:eastAsia="ar-SA"/>
        </w:rPr>
      </w:pP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EA23E6" w:rsidRDefault="00EA23E6" w:rsidP="00F702E0">
      <w:pPr>
        <w:ind w:firstLine="705"/>
        <w:jc w:val="both"/>
        <w:rPr>
          <w:sz w:val="28"/>
          <w:szCs w:val="28"/>
          <w:lang w:eastAsia="ar-SA"/>
        </w:rPr>
      </w:pPr>
    </w:p>
    <w:p w:rsidR="00F702E0" w:rsidRPr="00194F27" w:rsidRDefault="00F702E0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Затвердити порядок </w:t>
      </w:r>
      <w:r w:rsidR="00E94CC9">
        <w:rPr>
          <w:sz w:val="28"/>
          <w:szCs w:val="28"/>
          <w:lang w:eastAsia="ar-SA"/>
        </w:rPr>
        <w:t xml:space="preserve">використання коштів місцевого бюджету з  </w:t>
      </w:r>
      <w:r>
        <w:rPr>
          <w:sz w:val="28"/>
          <w:szCs w:val="28"/>
          <w:lang w:eastAsia="ar-SA"/>
        </w:rPr>
        <w:t>відшкодування різниці між тарифом на послуги з перевезення пасажирів та вартістю квитка на 2019 – 2020 роки згідно з додатком 1 до даного рішення.</w:t>
      </w:r>
    </w:p>
    <w:p w:rsidR="000E5E6C" w:rsidRDefault="000E5E6C" w:rsidP="00F835E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 </w:t>
      </w:r>
      <w:r w:rsidR="00BC2062">
        <w:rPr>
          <w:bCs/>
          <w:kern w:val="32"/>
          <w:sz w:val="28"/>
          <w:szCs w:val="28"/>
        </w:rPr>
        <w:t xml:space="preserve">Доповнити </w:t>
      </w:r>
      <w:r w:rsidR="00D32F7D">
        <w:rPr>
          <w:bCs/>
          <w:kern w:val="32"/>
          <w:sz w:val="28"/>
          <w:szCs w:val="28"/>
        </w:rPr>
        <w:t>п. 3 Програми «Міський автобус» перевезення пасажирів по м. Мена на 2019 – 2020 роки</w:t>
      </w:r>
      <w:r w:rsidR="00F835E7">
        <w:rPr>
          <w:bCs/>
          <w:kern w:val="32"/>
          <w:sz w:val="28"/>
          <w:szCs w:val="28"/>
        </w:rPr>
        <w:t>,</w:t>
      </w:r>
      <w:r w:rsidR="00D32F7D">
        <w:rPr>
          <w:bCs/>
          <w:kern w:val="32"/>
          <w:sz w:val="28"/>
          <w:szCs w:val="28"/>
        </w:rPr>
        <w:t xml:space="preserve"> </w:t>
      </w:r>
      <w:r w:rsidR="00BC2062">
        <w:rPr>
          <w:bCs/>
          <w:kern w:val="32"/>
          <w:sz w:val="28"/>
          <w:szCs w:val="28"/>
        </w:rPr>
        <w:t>затверджене рішенням 2</w:t>
      </w:r>
      <w:r w:rsidR="005F73A2">
        <w:rPr>
          <w:bCs/>
          <w:kern w:val="32"/>
          <w:sz w:val="28"/>
          <w:szCs w:val="28"/>
        </w:rPr>
        <w:t>4</w:t>
      </w:r>
      <w:r w:rsidR="00BC2062">
        <w:rPr>
          <w:bCs/>
          <w:kern w:val="32"/>
          <w:sz w:val="28"/>
          <w:szCs w:val="28"/>
        </w:rPr>
        <w:t xml:space="preserve"> сесії 7 скликання </w:t>
      </w:r>
      <w:r w:rsidR="005F73A2">
        <w:rPr>
          <w:bCs/>
          <w:kern w:val="32"/>
          <w:sz w:val="28"/>
          <w:szCs w:val="28"/>
        </w:rPr>
        <w:t>17 грудня</w:t>
      </w:r>
      <w:r w:rsidR="00BC2062">
        <w:rPr>
          <w:bCs/>
          <w:kern w:val="32"/>
          <w:sz w:val="28"/>
          <w:szCs w:val="28"/>
        </w:rPr>
        <w:t xml:space="preserve"> 2018 року</w:t>
      </w:r>
      <w:r w:rsidR="00F835E7">
        <w:rPr>
          <w:bCs/>
          <w:kern w:val="32"/>
          <w:sz w:val="28"/>
          <w:szCs w:val="28"/>
        </w:rPr>
        <w:t>,</w:t>
      </w:r>
      <w:r w:rsidR="005F73A2">
        <w:rPr>
          <w:bCs/>
          <w:kern w:val="32"/>
          <w:sz w:val="28"/>
          <w:szCs w:val="28"/>
        </w:rPr>
        <w:t xml:space="preserve"> </w:t>
      </w:r>
      <w:r w:rsidR="00F835E7">
        <w:rPr>
          <w:bCs/>
          <w:kern w:val="32"/>
          <w:sz w:val="28"/>
          <w:szCs w:val="28"/>
        </w:rPr>
        <w:t>реченням</w:t>
      </w:r>
      <w:r w:rsidR="005F73A2">
        <w:rPr>
          <w:bCs/>
          <w:kern w:val="32"/>
          <w:sz w:val="28"/>
          <w:szCs w:val="28"/>
        </w:rPr>
        <w:t xml:space="preserve"> «</w:t>
      </w:r>
      <w:r w:rsidR="00977411">
        <w:rPr>
          <w:bCs/>
          <w:kern w:val="32"/>
          <w:sz w:val="28"/>
          <w:szCs w:val="28"/>
        </w:rPr>
        <w:t>Ф</w:t>
      </w:r>
      <w:r w:rsidR="00F835E7">
        <w:rPr>
          <w:bCs/>
          <w:kern w:val="32"/>
          <w:sz w:val="28"/>
          <w:szCs w:val="28"/>
        </w:rPr>
        <w:t>інансування Програми «Міський автобус» здійснюється згідно з порядком використання коштів місцевого бюджету з відшкодування різниці між тарифом на послуги з перевезення пасажирів та вартістю квитка</w:t>
      </w:r>
      <w:r w:rsidR="005F73A2">
        <w:rPr>
          <w:bCs/>
          <w:kern w:val="32"/>
          <w:sz w:val="28"/>
          <w:szCs w:val="28"/>
        </w:rPr>
        <w:t>»</w:t>
      </w:r>
      <w:r w:rsidR="00BC2062">
        <w:rPr>
          <w:bCs/>
          <w:kern w:val="32"/>
          <w:sz w:val="28"/>
          <w:szCs w:val="28"/>
        </w:rPr>
        <w:t>.</w:t>
      </w:r>
    </w:p>
    <w:p w:rsidR="00F702E0" w:rsidRDefault="004F081C" w:rsidP="004F081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702E0">
        <w:rPr>
          <w:sz w:val="28"/>
          <w:szCs w:val="28"/>
          <w:lang w:eastAsia="ar-SA"/>
        </w:rPr>
        <w:t>. Контроль за виконанням рішення покласти на заступників міського голови з питань діяльності виконкому.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  <w:t>Г.А.</w:t>
      </w:r>
      <w:r>
        <w:rPr>
          <w:b/>
          <w:sz w:val="28"/>
          <w:szCs w:val="28"/>
          <w:lang w:eastAsia="ar-SA"/>
        </w:rPr>
        <w:t xml:space="preserve"> </w:t>
      </w:r>
      <w:r w:rsidRPr="007A68E0">
        <w:rPr>
          <w:b/>
          <w:sz w:val="28"/>
          <w:szCs w:val="28"/>
          <w:lang w:eastAsia="ar-SA"/>
        </w:rPr>
        <w:t>Примаков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F702E0" w:rsidRPr="00444626" w:rsidRDefault="00F702E0" w:rsidP="00F702E0">
      <w:pPr>
        <w:pStyle w:val="a3"/>
        <w:widowControl w:val="0"/>
        <w:suppressAutoHyphens/>
        <w:ind w:left="538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br w:type="page"/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Порядок</w:t>
      </w:r>
    </w:p>
    <w:p w:rsidR="00F702E0" w:rsidRPr="00444626" w:rsidRDefault="007975E3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використання коштів місцевого бюджету з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та вартістю квитка на перевезення одного пасажира на автобусному маршруті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загального користування №1 “вул. Лермонтова – вул. Сіверський шлях (ПрАТ ШРБУ-82 )”, проміжні зупинки: вул. Калинова – МНС-Червоний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 та вартістю квитка на перевезення одного пасажира на автобусному маршруті загального користування №2 “вул. Сидоренка – Сіверський шлях” проміжні зупинки: магазин «Берізка – ЦКДМ – 8 Березня – 1 Травня –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>Загальні положення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1.1</w:t>
      </w:r>
      <w:r w:rsid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Цей Порядок визначає механізм</w:t>
      </w:r>
      <w:r w:rsidR="00977411" w:rsidRP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використання коштів місцевого бюджету з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відшкодування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різниці між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визначеними виконкомом міської ради тарифом на послуги з перевезення пасажирів на міському автобусному маршруті загального користування 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 та вартістю квитка на перевезення одного пасажира на автобусному маршруті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загального користування 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 за рахунок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коштів міського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бюджету.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1.2. Порядок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розроблений відповідно до Програми та статей 7 та 37 Закону України “Про автомобільний транспорт”,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статті 30 Закону України “Про мі</w:t>
      </w:r>
      <w:r w:rsidR="00B971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сцеве самоврядування в Україні”, статті 20 Бюджетного Кодексу України.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1.3. Загальна сума відшкодування різниці між встановленим виконкомом міської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ради тарифом та ціною квитка на перевезення одного пасажира на автобусному маршруті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№1, №2 по м. Мена, визначається кошторисними призначеннями на відповідний рік за рахунок коштів місцевого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бюджету. Відшкодування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проводиться на підставі договору, укладеного між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Менською міською радою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(головний розпорядник бюджетних коштів) та виконувач послуг, визначений за результатами конкурсу (далі надавач послуг).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>Перевезення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громадян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автомобільним транспортом міського сполучення.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2.1. Обслуговування пасажирів здійснюється перевізником у відповідності із: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Законом України «Про автомобільний транспорт» від 05.04.2001 № 2344-ІІІ;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Законом України «Про дорожній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рух» від 30.06.1993р. № 3353–12;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наказом Міністерства інфраструктури України від 15.07.2013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 480 «Про затвердження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організації перевезень пасажирів та багажу автомобільним транспортом»;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іншими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законодавчими та нормативними актами, що регулюють відносини у відповідній сфері 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Водій,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регулюючи розміщення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пасажирів 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межах норм перевезень,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забезпечує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рівномірну посадку громадян, 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порядку загальної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черги.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2.2. У разі порушень – відміни рейсів, руху з порушенням затвердженого графіка та інше, сума, визначена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автотранспортним підприємством до відшкодування за звітний місяць може бути зменшена за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кожний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зафіксований випадок. А в разі допущення трьох і більше випадків порушення в місяць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міська рада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подає пропозиції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щодо розірвання договору з надавачем послуг.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2.3 Надавач послуг несе повну відповідальність за достовірність даних в поданих розрахунках .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 Порядок </w:t>
      </w:r>
      <w:r w:rsidR="003620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використання коштів місцевого </w:t>
      </w:r>
      <w:r w:rsidR="003620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бюджетних</w:t>
      </w:r>
      <w:r w:rsidR="00362094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відшкодування витрат.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3.1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Головний розпорядник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коштів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міська рада.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3.2.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Надавач послуг, який здійснює перевезення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громадян міста в рамках програми „Міський автобус”, з метою отримання коштів з бюджету громади на відшкодування різниці між тарифом і ціною квитка надає Менській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міській раді фактичні розрахунки витрат та акти звірки щомісячно, до 5 числа місяця, наступного за звітним. (зразок розрахунку додається).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3.3. Менська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міська рада згідно розрахунку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трат на перевезення мешканців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міста міським автобусом та акту звірки з перевізником реєструє фінансові зобов’язання та перераховує кошти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 відшкодуванню різниці між визначеним виконкомом міської ради тарифом на послуги з перевезення пасажирів на міському автобусному маршруті загального користування по маршруту №1 та №2, відповідно до бюджетних призначень.</w:t>
      </w:r>
    </w:p>
    <w:p w:rsidR="00F702E0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3.4. Виконання зобов’язань головного розпорядника бюджетних коштів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передбачаються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відповідності з даними Розрахунку витрат та в межах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виділених кошторисних призначень.</w:t>
      </w:r>
    </w:p>
    <w:p w:rsidR="00D90422" w:rsidRDefault="00D90422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3.5. Бюджетна заборгованість Менської міської ради не може перевищувати тридцяти календарних днів. Погашення заборгованості проводиться шляхом внесення змін до кошторису видатків міської ради та внесенням змін до договору з надавачем послуг.</w:t>
      </w:r>
    </w:p>
    <w:p w:rsidR="00D90422" w:rsidRDefault="00D90422">
      <w:pPr>
        <w:spacing w:after="160" w:line="259" w:lineRule="auto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br w:type="page"/>
      </w:r>
    </w:p>
    <w:p w:rsidR="00EA23E6" w:rsidRDefault="00D90422" w:rsidP="00D90422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 </w:t>
      </w:r>
      <w:bookmarkStart w:id="0" w:name="_GoBack"/>
      <w:bookmarkEnd w:id="0"/>
    </w:p>
    <w:p w:rsidR="00F702E0" w:rsidRPr="0082312D" w:rsidRDefault="00F702E0" w:rsidP="00F702E0">
      <w:pPr>
        <w:pStyle w:val="a3"/>
        <w:widowControl w:val="0"/>
        <w:suppressAutoHyphens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23C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 xml:space="preserve">Додаток до Порядку </w:t>
      </w:r>
      <w:r w:rsidR="000D4AB3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 xml:space="preserve">використання коштів місцевого бюджету з </w:t>
      </w:r>
      <w:r w:rsidRPr="009D423C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>відшкодування різниці між тарифом на послуги з перевезення пасажирів та вартістю квитка</w:t>
      </w:r>
    </w:p>
    <w:p w:rsidR="00F702E0" w:rsidRPr="0082312D" w:rsidRDefault="00F702E0" w:rsidP="00F702E0">
      <w:pPr>
        <w:shd w:val="clear" w:color="auto" w:fill="FFFFFF"/>
        <w:textAlignment w:val="baseline"/>
        <w:rPr>
          <w:sz w:val="28"/>
          <w:szCs w:val="24"/>
        </w:rPr>
      </w:pPr>
    </w:p>
    <w:p w:rsidR="00F702E0" w:rsidRPr="0082312D" w:rsidRDefault="00F702E0" w:rsidP="00F702E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82312D">
        <w:rPr>
          <w:sz w:val="24"/>
          <w:szCs w:val="24"/>
        </w:rPr>
        <w:t>Р О З Р А Х У Н О К</w:t>
      </w:r>
    </w:p>
    <w:p w:rsidR="00F702E0" w:rsidRPr="0082312D" w:rsidRDefault="00F702E0" w:rsidP="00F702E0">
      <w:pPr>
        <w:shd w:val="clear" w:color="auto" w:fill="FFFFFF"/>
        <w:spacing w:after="95" w:line="185" w:lineRule="atLeast"/>
        <w:jc w:val="both"/>
        <w:textAlignment w:val="baseline"/>
        <w:rPr>
          <w:sz w:val="28"/>
          <w:szCs w:val="28"/>
        </w:rPr>
      </w:pPr>
      <w:r w:rsidRPr="0082312D">
        <w:rPr>
          <w:sz w:val="24"/>
          <w:szCs w:val="24"/>
        </w:rPr>
        <w:br/>
      </w:r>
      <w:r w:rsidRPr="0082312D">
        <w:rPr>
          <w:sz w:val="28"/>
          <w:szCs w:val="28"/>
        </w:rPr>
        <w:t xml:space="preserve">розміру відшкодування  різниці між встановленими виконкомом міської ради тарифом для </w:t>
      </w:r>
      <w:r>
        <w:rPr>
          <w:sz w:val="28"/>
          <w:szCs w:val="28"/>
        </w:rPr>
        <w:t>надавача послуг</w:t>
      </w:r>
      <w:r w:rsidRPr="0082312D">
        <w:rPr>
          <w:sz w:val="28"/>
          <w:szCs w:val="28"/>
        </w:rPr>
        <w:t xml:space="preserve">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 w:rsidRPr="006F49B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(ПрАТ ШРБУ-82 )</w:t>
      </w:r>
      <w:r w:rsidRPr="006F49BA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МНС-Червоний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та №2</w:t>
      </w:r>
      <w:r>
        <w:rPr>
          <w:sz w:val="28"/>
          <w:szCs w:val="28"/>
        </w:rPr>
        <w:t xml:space="preserve"> </w:t>
      </w:r>
      <w:r w:rsidRPr="006F49BA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6F49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Сіверський шлях</w:t>
      </w:r>
      <w:r w:rsidRPr="006F49BA">
        <w:rPr>
          <w:sz w:val="28"/>
          <w:szCs w:val="28"/>
          <w:lang w:val="ru-RU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 w:rsidRPr="0082312D">
        <w:rPr>
          <w:sz w:val="28"/>
          <w:szCs w:val="28"/>
        </w:rPr>
        <w:t xml:space="preserve"> та вартістю квитка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за_____________ 201</w:t>
      </w:r>
      <w:r>
        <w:rPr>
          <w:sz w:val="28"/>
          <w:szCs w:val="28"/>
        </w:rPr>
        <w:t xml:space="preserve">9 – 2020 </w:t>
      </w:r>
      <w:r w:rsidRPr="0082312D">
        <w:rPr>
          <w:sz w:val="28"/>
          <w:szCs w:val="28"/>
        </w:rPr>
        <w:t>рок</w:t>
      </w:r>
      <w:r>
        <w:rPr>
          <w:sz w:val="28"/>
          <w:szCs w:val="28"/>
        </w:rPr>
        <w:t>и</w:t>
      </w:r>
    </w:p>
    <w:p w:rsidR="00F702E0" w:rsidRPr="0082312D" w:rsidRDefault="00F702E0" w:rsidP="00F702E0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p w:rsidR="00F702E0" w:rsidRPr="0082312D" w:rsidRDefault="00F702E0" w:rsidP="00F702E0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380"/>
      </w:tblGrid>
      <w:tr w:rsidR="00F702E0" w:rsidRPr="0082312D" w:rsidTr="00C82D78"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1.    Кількість  рейсів   за  день   відповідно до розкладу руху</w:t>
            </w:r>
          </w:p>
        </w:tc>
        <w:tc>
          <w:tcPr>
            <w:tcW w:w="1386" w:type="dxa"/>
          </w:tcPr>
          <w:p w:rsidR="00F702E0" w:rsidRPr="00280692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2.    Кількість  робочих  днів   за місяць  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351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3.    Кількість виконаних рейсів   за місяць    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692"/>
        </w:trPr>
        <w:tc>
          <w:tcPr>
            <w:tcW w:w="8154" w:type="dxa"/>
          </w:tcPr>
          <w:p w:rsidR="00F702E0" w:rsidRPr="0082312D" w:rsidRDefault="00F702E0" w:rsidP="00C82D78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4.    Відсоток виконаних рейсів за місяць по відношенню до кількості робочих днів в звітному місяці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07"/>
        </w:trPr>
        <w:tc>
          <w:tcPr>
            <w:tcW w:w="8154" w:type="dxa"/>
          </w:tcPr>
          <w:p w:rsidR="00F702E0" w:rsidRPr="0082312D" w:rsidRDefault="00F702E0" w:rsidP="00C82D78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5.    Кількість рейсів виконаних резервним автобусом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6.    Кількість  перевезених пасажирів за проданими квитками за 1 місяць    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7.    Різниця між  встановленою вартістю квитка та  встановленим тарифом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8.   Сума, що підлягає відшкодуванню за перевезених  пасажирів  за 1 місяць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02E0" w:rsidRPr="001F651D" w:rsidRDefault="00F702E0" w:rsidP="00F702E0">
      <w:pPr>
        <w:shd w:val="clear" w:color="auto" w:fill="FFFFFF"/>
        <w:spacing w:after="95" w:line="185" w:lineRule="atLeast"/>
        <w:ind w:left="540" w:hanging="540"/>
        <w:textAlignment w:val="baseline"/>
        <w:rPr>
          <w:b/>
          <w:sz w:val="28"/>
          <w:szCs w:val="28"/>
        </w:rPr>
      </w:pPr>
    </w:p>
    <w:p w:rsidR="00FA4739" w:rsidRDefault="00FA4739"/>
    <w:sectPr w:rsidR="00FA4739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E0"/>
    <w:rsid w:val="000D4AB3"/>
    <w:rsid w:val="000E5E6C"/>
    <w:rsid w:val="00362094"/>
    <w:rsid w:val="004F081C"/>
    <w:rsid w:val="005F73A2"/>
    <w:rsid w:val="007975E3"/>
    <w:rsid w:val="00977411"/>
    <w:rsid w:val="00B93626"/>
    <w:rsid w:val="00B971A9"/>
    <w:rsid w:val="00BC2062"/>
    <w:rsid w:val="00C70BC4"/>
    <w:rsid w:val="00D32F7D"/>
    <w:rsid w:val="00D90422"/>
    <w:rsid w:val="00E94CC9"/>
    <w:rsid w:val="00EA23E6"/>
    <w:rsid w:val="00F702E0"/>
    <w:rsid w:val="00F835E7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3B29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5213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10</cp:revision>
  <dcterms:created xsi:type="dcterms:W3CDTF">2019-02-05T13:50:00Z</dcterms:created>
  <dcterms:modified xsi:type="dcterms:W3CDTF">2019-02-19T09:31:00Z</dcterms:modified>
</cp:coreProperties>
</file>