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4F" w:rsidRDefault="00E56F4F" w:rsidP="00E56F4F">
      <w:pPr>
        <w:spacing w:after="0" w:line="240" w:lineRule="auto"/>
        <w:rPr>
          <w:rFonts w:eastAsia="Times New Roman"/>
          <w:b/>
          <w:color w:val="000000"/>
          <w:szCs w:val="28"/>
        </w:rPr>
      </w:pPr>
      <w:bookmarkStart w:id="0" w:name="_GoBack"/>
      <w:bookmarkEnd w:id="0"/>
    </w:p>
    <w:p w:rsidR="00E56F4F" w:rsidRPr="0071179F" w:rsidRDefault="00E56F4F" w:rsidP="00E56F4F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 w:rsidRPr="0071179F">
        <w:rPr>
          <w:rFonts w:eastAsia="Times New Roman"/>
          <w:noProof/>
          <w:color w:val="000000"/>
          <w:sz w:val="32"/>
          <w:szCs w:val="32"/>
          <w:lang w:eastAsia="uk-UA"/>
        </w:rPr>
        <w:drawing>
          <wp:inline distT="0" distB="0" distL="0" distR="0" wp14:anchorId="5D82861C" wp14:editId="735FC3C0">
            <wp:extent cx="541020" cy="754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F4F" w:rsidRPr="0071179F" w:rsidRDefault="00E56F4F" w:rsidP="00E56F4F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 w:rsidRPr="0071179F">
        <w:rPr>
          <w:rFonts w:eastAsia="Times New Roman"/>
          <w:b/>
          <w:color w:val="000000"/>
          <w:szCs w:val="28"/>
        </w:rPr>
        <w:t>Україна</w:t>
      </w:r>
    </w:p>
    <w:p w:rsidR="00E56F4F" w:rsidRPr="0071179F" w:rsidRDefault="00E56F4F" w:rsidP="00E56F4F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 w:rsidRPr="0071179F">
        <w:rPr>
          <w:rFonts w:eastAsia="Times New Roman"/>
          <w:b/>
          <w:color w:val="000000"/>
          <w:szCs w:val="28"/>
        </w:rPr>
        <w:t>МЕНСЬКА МІСЬКА РАДА</w:t>
      </w:r>
    </w:p>
    <w:p w:rsidR="00E56F4F" w:rsidRPr="0071179F" w:rsidRDefault="00E56F4F" w:rsidP="00E56F4F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 w:rsidRPr="0071179F">
        <w:rPr>
          <w:rFonts w:eastAsia="Times New Roman"/>
          <w:b/>
          <w:color w:val="000000"/>
          <w:szCs w:val="28"/>
        </w:rPr>
        <w:t>Менського району Чернігівської області</w:t>
      </w:r>
    </w:p>
    <w:p w:rsidR="00E56F4F" w:rsidRPr="0071179F" w:rsidRDefault="00E56F4F" w:rsidP="00E56F4F">
      <w:pPr>
        <w:spacing w:after="0" w:line="240" w:lineRule="auto"/>
        <w:jc w:val="center"/>
        <w:rPr>
          <w:rFonts w:eastAsia="Times New Roman"/>
          <w:b/>
          <w:color w:val="000000"/>
          <w:szCs w:val="28"/>
        </w:rPr>
      </w:pPr>
      <w:r>
        <w:rPr>
          <w:rFonts w:eastAsia="Times New Roman"/>
          <w:b/>
          <w:color w:val="000000"/>
          <w:szCs w:val="28"/>
        </w:rPr>
        <w:t>(</w:t>
      </w:r>
      <w:r w:rsidR="00626622">
        <w:rPr>
          <w:rFonts w:eastAsia="Times New Roman"/>
          <w:b/>
          <w:color w:val="000000"/>
          <w:szCs w:val="28"/>
        </w:rPr>
        <w:t xml:space="preserve">двадцять сьома </w:t>
      </w:r>
      <w:r w:rsidRPr="0071179F">
        <w:rPr>
          <w:rFonts w:eastAsia="Times New Roman"/>
          <w:b/>
          <w:color w:val="000000"/>
          <w:szCs w:val="28"/>
        </w:rPr>
        <w:t>сесія</w:t>
      </w:r>
      <w:r>
        <w:rPr>
          <w:rFonts w:eastAsia="Times New Roman"/>
          <w:b/>
          <w:color w:val="000000"/>
          <w:szCs w:val="28"/>
        </w:rPr>
        <w:t xml:space="preserve"> сьомого</w:t>
      </w:r>
      <w:r w:rsidRPr="0071179F">
        <w:rPr>
          <w:rFonts w:eastAsia="Times New Roman"/>
          <w:b/>
          <w:color w:val="000000"/>
          <w:szCs w:val="28"/>
        </w:rPr>
        <w:t xml:space="preserve"> скликання)</w:t>
      </w:r>
    </w:p>
    <w:p w:rsidR="00E56F4F" w:rsidRPr="0071179F" w:rsidRDefault="00E56F4F" w:rsidP="00E56F4F">
      <w:pPr>
        <w:spacing w:after="0" w:line="240" w:lineRule="auto"/>
        <w:jc w:val="center"/>
        <w:rPr>
          <w:rFonts w:eastAsia="Times New Roman"/>
          <w:color w:val="000000"/>
          <w:szCs w:val="28"/>
        </w:rPr>
      </w:pPr>
    </w:p>
    <w:p w:rsidR="00E56F4F" w:rsidRPr="0071179F" w:rsidRDefault="00E56F4F" w:rsidP="00E56F4F">
      <w:pPr>
        <w:spacing w:after="0" w:line="240" w:lineRule="auto"/>
        <w:ind w:left="40" w:hanging="20"/>
        <w:jc w:val="center"/>
        <w:rPr>
          <w:rFonts w:eastAsia="Times New Roman"/>
          <w:b/>
          <w:color w:val="000000"/>
          <w:szCs w:val="28"/>
        </w:rPr>
      </w:pPr>
      <w:r w:rsidRPr="0071179F">
        <w:rPr>
          <w:rFonts w:eastAsia="Times New Roman"/>
          <w:b/>
          <w:color w:val="000000"/>
          <w:szCs w:val="28"/>
        </w:rPr>
        <w:t>ПРОЕКТ РІШЕННЯ</w:t>
      </w:r>
    </w:p>
    <w:p w:rsidR="00E56F4F" w:rsidRPr="0071179F" w:rsidRDefault="00E56F4F" w:rsidP="00E56F4F">
      <w:pPr>
        <w:spacing w:after="0" w:line="240" w:lineRule="auto"/>
        <w:rPr>
          <w:rFonts w:eastAsia="Times New Roman"/>
          <w:color w:val="000000"/>
          <w:szCs w:val="28"/>
        </w:rPr>
      </w:pPr>
    </w:p>
    <w:p w:rsidR="00E56F4F" w:rsidRPr="00093379" w:rsidRDefault="00E56F4F" w:rsidP="00E56F4F">
      <w:pPr>
        <w:spacing w:after="0" w:line="240" w:lineRule="auto"/>
        <w:rPr>
          <w:rFonts w:eastAsia="Times New Roman"/>
          <w:color w:val="000000"/>
          <w:szCs w:val="28"/>
        </w:rPr>
      </w:pPr>
      <w:r w:rsidRPr="0071179F">
        <w:rPr>
          <w:rFonts w:eastAsia="Times New Roman"/>
          <w:color w:val="000000"/>
          <w:szCs w:val="28"/>
        </w:rPr>
        <w:t>«</w:t>
      </w:r>
      <w:r>
        <w:rPr>
          <w:rFonts w:eastAsia="Times New Roman"/>
          <w:color w:val="000000"/>
          <w:szCs w:val="28"/>
        </w:rPr>
        <w:t>13</w:t>
      </w:r>
      <w:r w:rsidRPr="0071179F">
        <w:rPr>
          <w:rFonts w:eastAsia="Times New Roman"/>
          <w:color w:val="000000"/>
          <w:szCs w:val="28"/>
        </w:rPr>
        <w:t xml:space="preserve">» </w:t>
      </w:r>
      <w:r>
        <w:rPr>
          <w:rFonts w:eastAsia="Times New Roman"/>
          <w:color w:val="000000"/>
          <w:szCs w:val="28"/>
          <w:lang w:val="ru-RU"/>
        </w:rPr>
        <w:t>лютого</w:t>
      </w:r>
      <w:r>
        <w:rPr>
          <w:rFonts w:eastAsia="Times New Roman"/>
          <w:color w:val="000000"/>
          <w:szCs w:val="28"/>
        </w:rPr>
        <w:t xml:space="preserve"> 2019</w:t>
      </w:r>
      <w:r w:rsidRPr="0071179F">
        <w:rPr>
          <w:rFonts w:eastAsia="Times New Roman"/>
          <w:color w:val="000000"/>
          <w:szCs w:val="28"/>
        </w:rPr>
        <w:t xml:space="preserve"> року</w:t>
      </w:r>
    </w:p>
    <w:p w:rsidR="00E56F4F" w:rsidRPr="0061770A" w:rsidRDefault="00E56F4F" w:rsidP="00E56F4F">
      <w:pPr>
        <w:pStyle w:val="1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F4F" w:rsidRPr="0061770A" w:rsidRDefault="00E56F4F" w:rsidP="00E56F4F">
      <w:pPr>
        <w:pStyle w:val="1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0A">
        <w:rPr>
          <w:rFonts w:ascii="Times New Roman" w:eastAsia="Times New Roman" w:hAnsi="Times New Roman" w:cs="Times New Roman"/>
          <w:b/>
          <w:sz w:val="28"/>
          <w:szCs w:val="28"/>
        </w:rPr>
        <w:t>Про ініціювання передачі до</w:t>
      </w:r>
    </w:p>
    <w:p w:rsidR="00E56F4F" w:rsidRPr="0061770A" w:rsidRDefault="00E56F4F" w:rsidP="00E56F4F">
      <w:pPr>
        <w:pStyle w:val="1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0A">
        <w:rPr>
          <w:rFonts w:ascii="Times New Roman" w:eastAsia="Times New Roman" w:hAnsi="Times New Roman" w:cs="Times New Roman"/>
          <w:b/>
          <w:sz w:val="28"/>
          <w:szCs w:val="28"/>
        </w:rPr>
        <w:t>власності Менської об’єднаної</w:t>
      </w:r>
    </w:p>
    <w:p w:rsidR="00E56F4F" w:rsidRPr="0061770A" w:rsidRDefault="00E56F4F" w:rsidP="00E56F4F">
      <w:pPr>
        <w:pStyle w:val="1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0A">
        <w:rPr>
          <w:rFonts w:ascii="Times New Roman" w:eastAsia="Times New Roman" w:hAnsi="Times New Roman" w:cs="Times New Roman"/>
          <w:b/>
          <w:sz w:val="28"/>
          <w:szCs w:val="28"/>
        </w:rPr>
        <w:t>територіальної громади закладів</w:t>
      </w:r>
    </w:p>
    <w:p w:rsidR="00E56F4F" w:rsidRPr="0061770A" w:rsidRDefault="00E56F4F" w:rsidP="00E56F4F">
      <w:pPr>
        <w:pStyle w:val="1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70A">
        <w:rPr>
          <w:rFonts w:ascii="Times New Roman" w:eastAsia="Times New Roman" w:hAnsi="Times New Roman" w:cs="Times New Roman"/>
          <w:b/>
          <w:sz w:val="28"/>
          <w:szCs w:val="28"/>
        </w:rPr>
        <w:t>соціального захисту населення</w:t>
      </w:r>
    </w:p>
    <w:p w:rsidR="00E56F4F" w:rsidRPr="0061770A" w:rsidRDefault="00E56F4F" w:rsidP="00E56F4F">
      <w:pPr>
        <w:pStyle w:val="1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F4F" w:rsidRDefault="00E56F4F" w:rsidP="00E56F4F">
      <w:pPr>
        <w:pStyle w:val="1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0A">
        <w:rPr>
          <w:rFonts w:ascii="Times New Roman" w:eastAsia="Times New Roman" w:hAnsi="Times New Roman" w:cs="Times New Roman"/>
          <w:sz w:val="28"/>
          <w:szCs w:val="28"/>
        </w:rPr>
        <w:t>В зв’язку з утворенням Менської об’єднаної територіальної громади,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керуючись ст.ст.26, 60 Закону України «Про місцеве самоврядування в Україні,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Бюджетним кодексом України, Законом України «Про добровільне об’єднання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територіальних громад», відповідно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Положення про порядок передачі 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об’єктів права спільної власності територі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альних громад сіл, селищ, міста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Менського району, затвердженого рішенням 13 сесії 5 скликання Менської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районної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Менська міська рада</w:t>
      </w:r>
    </w:p>
    <w:p w:rsidR="00E56F4F" w:rsidRPr="00A37C7D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C7D"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E56F4F" w:rsidRPr="0061770A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0A">
        <w:rPr>
          <w:rFonts w:ascii="Times New Roman" w:eastAsia="Times New Roman" w:hAnsi="Times New Roman" w:cs="Times New Roman"/>
          <w:sz w:val="28"/>
          <w:szCs w:val="28"/>
        </w:rPr>
        <w:t>1. Порушити перед Менсько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районною радою клопотання про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безоплатну передачу із спільної власності територіальних грома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сіл, селищ, міста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Менського району до власності Мен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ської об’єднаної територіальної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 xml:space="preserve">громади майна, що перебувають у спільній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власності територіальних громад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 xml:space="preserve">сіл, селищ, міста Менського району (додаток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1 - додається) та знаходиться в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сфері управлінні Менського 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иторіального центру соціального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обслуговування (надання соціальних посл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уг) Менської районної державної </w:t>
      </w:r>
      <w:r w:rsidR="00967447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, яке знаход</w:t>
      </w:r>
      <w:r>
        <w:rPr>
          <w:rFonts w:ascii="Times New Roman" w:eastAsia="Times New Roman" w:hAnsi="Times New Roman" w:cs="Times New Roman"/>
          <w:sz w:val="28"/>
          <w:szCs w:val="28"/>
        </w:rPr>
        <w:t>иться на його балансі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F4F" w:rsidRPr="0061770A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70A">
        <w:rPr>
          <w:rFonts w:ascii="Times New Roman" w:eastAsia="Times New Roman" w:hAnsi="Times New Roman" w:cs="Times New Roman"/>
          <w:sz w:val="28"/>
          <w:szCs w:val="28"/>
        </w:rPr>
        <w:t>2. Надати згоду на прийняття до власності Менської об’є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днаної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територіальної майна згідно додатку 1 та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ншого майна, яке знаходиться на 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ого балансі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F4F" w:rsidRPr="0061770A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. Контроль за виконанням рішення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окласти на </w:t>
      </w:r>
      <w:r w:rsidR="00626622">
        <w:rPr>
          <w:rFonts w:ascii="Times New Roman" w:eastAsia="Times New Roman" w:hAnsi="Times New Roman" w:cs="Times New Roman"/>
          <w:sz w:val="28"/>
          <w:szCs w:val="28"/>
        </w:rPr>
        <w:t>заступника міського голови з питань діяльності виконкому Т.С.Вишняк</w:t>
      </w:r>
      <w:r w:rsidRPr="00617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F4F" w:rsidRPr="0061770A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622" w:rsidRDefault="00626622">
      <w:pPr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szCs w:val="28"/>
        </w:rPr>
        <w:br w:type="page"/>
      </w:r>
    </w:p>
    <w:p w:rsidR="00E56F4F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F4F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622" w:rsidRPr="00626622" w:rsidRDefault="00626622" w:rsidP="00626622">
      <w:pPr>
        <w:pStyle w:val="1"/>
        <w:spacing w:line="276" w:lineRule="auto"/>
        <w:ind w:left="567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26622">
        <w:rPr>
          <w:rFonts w:ascii="Times New Roman" w:eastAsia="Times New Roman" w:hAnsi="Times New Roman" w:cs="Times New Roman"/>
          <w:sz w:val="24"/>
          <w:szCs w:val="28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1 </w:t>
      </w:r>
      <w:r w:rsidRPr="00626622">
        <w:rPr>
          <w:rFonts w:ascii="Times New Roman" w:eastAsia="Times New Roman" w:hAnsi="Times New Roman" w:cs="Times New Roman"/>
          <w:sz w:val="24"/>
          <w:szCs w:val="28"/>
        </w:rPr>
        <w:t>до рішення Про ініціювання передачі до власності Менської об’єднаної територіальної громади закладів соціального захисту населення</w:t>
      </w:r>
    </w:p>
    <w:p w:rsidR="00E56F4F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622" w:rsidRDefault="00626622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F4F" w:rsidRPr="00093379" w:rsidRDefault="00E56F4F" w:rsidP="00E56F4F">
      <w:pPr>
        <w:pStyle w:val="1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379">
        <w:rPr>
          <w:rFonts w:ascii="Times New Roman" w:eastAsia="Times New Roman" w:hAnsi="Times New Roman" w:cs="Times New Roman"/>
          <w:b/>
          <w:sz w:val="28"/>
          <w:szCs w:val="28"/>
        </w:rPr>
        <w:t>Перелік нерухомого майна які перебувають, в управлінні територіального центру соціального обслуговування ( надання соціальних послуг) та передаються безоплатно зі спільної власності територіальних громад сіл, селищ, міста Менського району у комунальну власність Менської міської об’єднаної територіальної громади</w:t>
      </w:r>
    </w:p>
    <w:p w:rsidR="00E56F4F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4677"/>
        <w:gridCol w:w="1451"/>
        <w:gridCol w:w="2375"/>
      </w:tblGrid>
      <w:tr w:rsidR="00E56F4F" w:rsidTr="00D712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4F" w:rsidRDefault="00E56F4F" w:rsidP="00D71241">
            <w:pPr>
              <w:pStyle w:val="1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4F" w:rsidRDefault="00E56F4F" w:rsidP="00D71241">
            <w:pPr>
              <w:pStyle w:val="1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4F" w:rsidRDefault="00E56F4F" w:rsidP="00D71241">
            <w:pPr>
              <w:pStyle w:val="1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4F" w:rsidRDefault="00E56F4F" w:rsidP="00D71241">
            <w:pPr>
              <w:pStyle w:val="10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Балансова вартість</w:t>
            </w:r>
          </w:p>
        </w:tc>
      </w:tr>
      <w:tr w:rsidR="00E56F4F" w:rsidTr="00D7124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4F" w:rsidRDefault="00E56F4F" w:rsidP="00D71241">
            <w:pPr>
              <w:pStyle w:val="1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56F4F" w:rsidRDefault="00E56F4F" w:rsidP="00D71241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Приміщення побуткомбінату  </w:t>
            </w:r>
          </w:p>
          <w:p w:rsidR="00E56F4F" w:rsidRDefault="00E56F4F" w:rsidP="00D71241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м. Мена,вул. Армійська,1,</w:t>
            </w:r>
          </w:p>
          <w:p w:rsidR="00E56F4F" w:rsidRDefault="00E56F4F" w:rsidP="00D71241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(38,9 м. кв.)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4F" w:rsidRDefault="00E56F4F" w:rsidP="00D71241">
            <w:pPr>
              <w:pStyle w:val="1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F4F" w:rsidRDefault="00E56F4F" w:rsidP="00D71241">
            <w:pPr>
              <w:pStyle w:val="10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</w:t>
            </w:r>
          </w:p>
        </w:tc>
      </w:tr>
    </w:tbl>
    <w:p w:rsidR="00E56F4F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F4F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F4F" w:rsidRDefault="00E56F4F" w:rsidP="00E56F4F">
      <w:pPr>
        <w:pStyle w:val="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F4F" w:rsidRDefault="00E56F4F"/>
    <w:sectPr w:rsidR="00E56F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4F"/>
    <w:rsid w:val="000113CC"/>
    <w:rsid w:val="004B6E77"/>
    <w:rsid w:val="00626622"/>
    <w:rsid w:val="00775548"/>
    <w:rsid w:val="00967447"/>
    <w:rsid w:val="00BF6491"/>
    <w:rsid w:val="00E5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4C64DD-B3EB-47DF-B5D0-467540C8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4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E56F4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customStyle="1" w:styleId="10">
    <w:name w:val="Абзац списку1"/>
    <w:basedOn w:val="a"/>
    <w:qFormat/>
    <w:rsid w:val="00E56F4F"/>
    <w:pPr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266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Iurii Stalnychenko</cp:lastModifiedBy>
  <cp:revision>5</cp:revision>
  <cp:lastPrinted>2019-02-08T12:16:00Z</cp:lastPrinted>
  <dcterms:created xsi:type="dcterms:W3CDTF">2019-02-08T10:54:00Z</dcterms:created>
  <dcterms:modified xsi:type="dcterms:W3CDTF">2019-02-11T10:14:00Z</dcterms:modified>
</cp:coreProperties>
</file>